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color w:val="702082"/>
          <w:sz w:val="48"/>
        </w:rPr>
        <w:t>PLAN DE COMPTE</w:t>
        <w:br/>
        <w:t>AG2R LA MONDIALE</w:t>
      </w:r>
    </w:p>
    <w:p>
      <w:pPr>
        <w:jc w:val="center"/>
      </w:pPr>
      <w:r>
        <w:rPr>
          <w:rFonts w:ascii="Arial" w:hAnsi="Arial"/>
          <w:sz w:val="24"/>
        </w:rPr>
        <w:t>Chasse commerciale - DSID, Data, Cyber, Relation client, Retraite complémentaire</w:t>
      </w:r>
    </w:p>
    <w:p>
      <w:pPr>
        <w:jc w:val="center"/>
      </w:pPr>
      <w:r>
        <w:rPr>
          <w:i/>
          <w:sz w:val="20"/>
        </w:rPr>
        <w:t>Version du 09/07/2026</w:t>
      </w:r>
    </w:p>
    <w:p>
      <w:pPr>
        <w:pStyle w:val="Heading1"/>
      </w:pPr>
      <w:r>
        <w:t>1. Synthèse exécutive</w:t>
      </w:r>
    </w:p>
    <w:p>
      <w:pPr/>
      <w:r>
        <w:rPr>
          <w:b/>
        </w:rPr>
        <w:t xml:space="preserve">• </w:t>
      </w:r>
      <w:r>
        <w:t>AG2R LA MONDIALE est un compte prioritaire à chasser car le groupe combine un volume important, une transformation SI continue, des enjeux data/IA et des besoins récurrents sur les métiers retraite, santé, prévoyance et relation client.</w:t>
      </w:r>
    </w:p>
    <w:p>
      <w:pPr/>
      <w:r>
        <w:rPr>
          <w:b/>
        </w:rPr>
        <w:t xml:space="preserve">• </w:t>
      </w:r>
      <w:r>
        <w:t>Le plan stratégique 2026-2031, intitulé Esprit de conquête, donne un angle de contact très concret : croissance, excellence opérationnelle, collectif, digitalisation et performance industrielle.</w:t>
      </w:r>
    </w:p>
    <w:p>
      <w:pPr/>
      <w:r>
        <w:rPr>
          <w:b/>
        </w:rPr>
        <w:t xml:space="preserve">• </w:t>
      </w:r>
      <w:r>
        <w:t>La DSID est le point d’entrée naturel, mais la chasse ne doit pas rester uniquement DSI. Les meilleurs leviers sont : Data &amp; IA, Cyber/résilience, AMOA retraite complémentaire, Salesforce/relation client, production applicative et pilotage fournisseurs/SAM.</w:t>
      </w:r>
    </w:p>
    <w:p>
      <w:pPr/>
      <w:r>
        <w:rPr>
          <w:b/>
        </w:rPr>
        <w:t xml:space="preserve">• </w:t>
      </w:r>
      <w:r>
        <w:t>La présence Fastor/Tilencia actuelle doit être renforcée : les documents internes montrent une activité AG2R existante, mais sans signature récente dans le reporting mars 2026. L’objectif est donc de passer d’une présence opportuniste à une chasse organisée sur 30 jours.</w:t>
      </w:r>
    </w:p>
    <w:p>
      <w:pPr>
        <w:pStyle w:val="Heading1"/>
      </w:pPr>
      <w:r>
        <w:t>2. Chiffres clés et points de contexte</w:t>
      </w:r>
    </w:p>
    <w:tbl>
      <w:tblPr>
        <w:tblStyle w:val="TableGrid"/>
        <w:tblW w:type="auto" w:w="0"/>
        <w:jc w:val="center"/>
        <w:tblLook w:firstColumn="1" w:firstRow="1" w:lastColumn="0" w:lastRow="0" w:noHBand="0" w:noVBand="1" w:val="04A0"/>
      </w:tblPr>
      <w:tblGrid>
        <w:gridCol w:w="3552"/>
        <w:gridCol w:w="3552"/>
        <w:gridCol w:w="3552"/>
      </w:tblGrid>
      <w:tr>
        <w:trPr>
          <w:tblHeader w:val="true"/>
        </w:trPr>
        <w:tc>
          <w:tcPr>
            <w:tcW w:type="dxa" w:w="3552"/>
            <w:vAlign w:val="center"/>
            <w:shd w:fill="6F2082"/>
          </w:tcPr>
          <w:p>
            <w:pPr>
              <w:spacing w:after="0" w:before="0"/>
            </w:pPr>
            <w:r>
              <w:rPr>
                <w:rFonts w:ascii="Arial" w:hAnsi="Arial"/>
              </w:rPr>
            </w:r>
            <w:r>
              <w:rPr>
                <w:rFonts w:ascii="Arial" w:hAnsi="Arial"/>
                <w:b/>
                <w:color w:val="FFFFFF"/>
                <w:sz w:val="16"/>
              </w:rPr>
              <w:t>Thème</w:t>
            </w:r>
          </w:p>
        </w:tc>
        <w:tc>
          <w:tcPr>
            <w:tcW w:type="dxa" w:w="3552"/>
            <w:vAlign w:val="center"/>
            <w:shd w:fill="6F2082"/>
          </w:tcPr>
          <w:p>
            <w:pPr>
              <w:spacing w:after="0" w:before="0"/>
            </w:pPr>
            <w:r>
              <w:rPr>
                <w:rFonts w:ascii="Arial" w:hAnsi="Arial"/>
              </w:rPr>
            </w:r>
            <w:r>
              <w:rPr>
                <w:rFonts w:ascii="Arial" w:hAnsi="Arial"/>
                <w:b/>
                <w:color w:val="FFFFFF"/>
                <w:sz w:val="16"/>
              </w:rPr>
              <w:t>Information exploitable</w:t>
            </w:r>
          </w:p>
        </w:tc>
        <w:tc>
          <w:tcPr>
            <w:tcW w:type="dxa" w:w="3552"/>
            <w:vAlign w:val="center"/>
            <w:shd w:fill="6F2082"/>
          </w:tcPr>
          <w:p>
            <w:pPr>
              <w:spacing w:after="0" w:before="0"/>
            </w:pPr>
            <w:r>
              <w:rPr>
                <w:rFonts w:ascii="Arial" w:hAnsi="Arial"/>
              </w:rPr>
            </w:r>
            <w:r>
              <w:rPr>
                <w:rFonts w:ascii="Arial" w:hAnsi="Arial"/>
                <w:b/>
                <w:color w:val="FFFFFF"/>
                <w:sz w:val="16"/>
              </w:rPr>
              <w:t>Intérêt commercial</w:t>
            </w:r>
          </w:p>
        </w:tc>
      </w:tr>
      <w:tr>
        <w:tc>
          <w:tcPr>
            <w:tcW w:type="dxa" w:w="3552"/>
            <w:vAlign w:val="center"/>
          </w:tcPr>
          <w:p>
            <w:pPr>
              <w:spacing w:after="0" w:before="0"/>
            </w:pPr>
            <w:r>
              <w:rPr>
                <w:rFonts w:ascii="Arial" w:hAnsi="Arial"/>
              </w:rPr>
            </w:r>
            <w:r>
              <w:rPr>
                <w:rFonts w:ascii="Arial" w:hAnsi="Arial"/>
                <w:b w:val="0"/>
                <w:sz w:val="16"/>
              </w:rPr>
              <w:t>Taille du groupe</w:t>
            </w:r>
          </w:p>
        </w:tc>
        <w:tc>
          <w:tcPr>
            <w:tcW w:type="dxa" w:w="3552"/>
            <w:vAlign w:val="center"/>
          </w:tcPr>
          <w:p>
            <w:pPr>
              <w:spacing w:after="0" w:before="0"/>
            </w:pPr>
            <w:r>
              <w:rPr>
                <w:rFonts w:ascii="Arial" w:hAnsi="Arial"/>
              </w:rPr>
            </w:r>
            <w:r>
              <w:rPr>
                <w:rFonts w:ascii="Arial" w:hAnsi="Arial"/>
                <w:b w:val="0"/>
                <w:sz w:val="16"/>
              </w:rPr>
              <w:t>Environ 15 millions d’assurés, près de 15 000 collaborateurs et un chiffre d’affaires 2025 communiqué à 13,1 Md€.</w:t>
            </w:r>
          </w:p>
        </w:tc>
        <w:tc>
          <w:tcPr>
            <w:tcW w:type="dxa" w:w="3552"/>
            <w:vAlign w:val="center"/>
          </w:tcPr>
          <w:p>
            <w:pPr>
              <w:spacing w:after="0" w:before="0"/>
            </w:pPr>
            <w:r>
              <w:rPr>
                <w:rFonts w:ascii="Arial" w:hAnsi="Arial"/>
              </w:rPr>
            </w:r>
            <w:r>
              <w:rPr>
                <w:rFonts w:ascii="Arial" w:hAnsi="Arial"/>
                <w:b w:val="0"/>
                <w:sz w:val="16"/>
              </w:rPr>
              <w:t>Compte grand volume : enjeux de production, sécurité, relation client, data, transformation et pilotage fournisseurs.</w:t>
            </w:r>
          </w:p>
        </w:tc>
      </w:tr>
      <w:tr>
        <w:tc>
          <w:tcPr>
            <w:tcW w:type="dxa" w:w="3552"/>
            <w:vAlign w:val="center"/>
          </w:tcPr>
          <w:p>
            <w:pPr>
              <w:spacing w:after="0" w:before="0"/>
            </w:pPr>
            <w:r>
              <w:rPr>
                <w:rFonts w:ascii="Arial" w:hAnsi="Arial"/>
              </w:rPr>
            </w:r>
            <w:r>
              <w:rPr>
                <w:rFonts w:ascii="Arial" w:hAnsi="Arial"/>
                <w:b w:val="0"/>
                <w:sz w:val="16"/>
              </w:rPr>
              <w:t>Implantations clés</w:t>
            </w:r>
          </w:p>
        </w:tc>
        <w:tc>
          <w:tcPr>
            <w:tcW w:type="dxa" w:w="3552"/>
            <w:vAlign w:val="center"/>
          </w:tcPr>
          <w:p>
            <w:pPr>
              <w:spacing w:after="0" w:before="0"/>
            </w:pPr>
            <w:r>
              <w:rPr>
                <w:rFonts w:ascii="Arial" w:hAnsi="Arial"/>
              </w:rPr>
            </w:r>
            <w:r>
              <w:rPr>
                <w:rFonts w:ascii="Arial" w:hAnsi="Arial"/>
                <w:b w:val="0"/>
                <w:sz w:val="16"/>
              </w:rPr>
              <w:t>Siège historique : 14-16 boulevard Malesherbes, Paris 8e. Site important : Levallois-Perret, 154 rue Anatole France.</w:t>
            </w:r>
          </w:p>
        </w:tc>
        <w:tc>
          <w:tcPr>
            <w:tcW w:type="dxa" w:w="3552"/>
            <w:vAlign w:val="center"/>
          </w:tcPr>
          <w:p>
            <w:pPr>
              <w:spacing w:after="0" w:before="0"/>
            </w:pPr>
            <w:r>
              <w:rPr>
                <w:rFonts w:ascii="Arial" w:hAnsi="Arial"/>
              </w:rPr>
            </w:r>
            <w:r>
              <w:rPr>
                <w:rFonts w:ascii="Arial" w:hAnsi="Arial"/>
                <w:b w:val="0"/>
                <w:sz w:val="16"/>
              </w:rPr>
              <w:t>Cibler Paris / Levallois pour les rendez-vous sur site et la chasse de contacts DSI/métiers.</w:t>
            </w:r>
          </w:p>
        </w:tc>
      </w:tr>
      <w:tr>
        <w:tc>
          <w:tcPr>
            <w:tcW w:type="dxa" w:w="3552"/>
            <w:vAlign w:val="center"/>
          </w:tcPr>
          <w:p>
            <w:pPr>
              <w:spacing w:after="0" w:before="0"/>
            </w:pPr>
            <w:r>
              <w:rPr>
                <w:rFonts w:ascii="Arial" w:hAnsi="Arial"/>
              </w:rPr>
            </w:r>
            <w:r>
              <w:rPr>
                <w:rFonts w:ascii="Arial" w:hAnsi="Arial"/>
                <w:b w:val="0"/>
                <w:sz w:val="16"/>
              </w:rPr>
              <w:t>Stratégie 2026-2031</w:t>
            </w:r>
          </w:p>
        </w:tc>
        <w:tc>
          <w:tcPr>
            <w:tcW w:type="dxa" w:w="3552"/>
            <w:vAlign w:val="center"/>
          </w:tcPr>
          <w:p>
            <w:pPr>
              <w:spacing w:after="0" w:before="0"/>
            </w:pPr>
            <w:r>
              <w:rPr>
                <w:rFonts w:ascii="Arial" w:hAnsi="Arial"/>
              </w:rPr>
            </w:r>
            <w:r>
              <w:rPr>
                <w:rFonts w:ascii="Arial" w:hAnsi="Arial"/>
                <w:b w:val="0"/>
                <w:sz w:val="16"/>
              </w:rPr>
              <w:t>Plan Esprit de conquête, objectif annoncé de 16 Md€ de chiffre d’affaires assurantiel à horizon 2031.</w:t>
            </w:r>
          </w:p>
        </w:tc>
        <w:tc>
          <w:tcPr>
            <w:tcW w:type="dxa" w:w="3552"/>
            <w:vAlign w:val="center"/>
          </w:tcPr>
          <w:p>
            <w:pPr>
              <w:spacing w:after="0" w:before="0"/>
            </w:pPr>
            <w:r>
              <w:rPr>
                <w:rFonts w:ascii="Arial" w:hAnsi="Arial"/>
              </w:rPr>
            </w:r>
            <w:r>
              <w:rPr>
                <w:rFonts w:ascii="Arial" w:hAnsi="Arial"/>
                <w:b w:val="0"/>
                <w:sz w:val="16"/>
              </w:rPr>
              <w:t>Angle commercial : les renforts doivent accélérer l’exécution du plan, pas seulement combler des trous de staffing.</w:t>
            </w:r>
          </w:p>
        </w:tc>
      </w:tr>
      <w:tr>
        <w:tc>
          <w:tcPr>
            <w:tcW w:type="dxa" w:w="3552"/>
            <w:vAlign w:val="center"/>
          </w:tcPr>
          <w:p>
            <w:pPr>
              <w:spacing w:after="0" w:before="0"/>
            </w:pPr>
            <w:r>
              <w:rPr>
                <w:rFonts w:ascii="Arial" w:hAnsi="Arial"/>
              </w:rPr>
            </w:r>
            <w:r>
              <w:rPr>
                <w:rFonts w:ascii="Arial" w:hAnsi="Arial"/>
                <w:b w:val="0"/>
                <w:sz w:val="16"/>
              </w:rPr>
              <w:t>IA générative</w:t>
            </w:r>
          </w:p>
        </w:tc>
        <w:tc>
          <w:tcPr>
            <w:tcW w:type="dxa" w:w="3552"/>
            <w:vAlign w:val="center"/>
          </w:tcPr>
          <w:p>
            <w:pPr>
              <w:spacing w:after="0" w:before="0"/>
            </w:pPr>
            <w:r>
              <w:rPr>
                <w:rFonts w:ascii="Arial" w:hAnsi="Arial"/>
              </w:rPr>
            </w:r>
            <w:r>
              <w:rPr>
                <w:rFonts w:ascii="Arial" w:hAnsi="Arial"/>
                <w:b w:val="0"/>
                <w:sz w:val="16"/>
              </w:rPr>
              <w:t>AG2R communique sur Almia, plateforme d’IA générative propriétaire hébergée cloud en France.</w:t>
            </w:r>
          </w:p>
        </w:tc>
        <w:tc>
          <w:tcPr>
            <w:tcW w:type="dxa" w:w="3552"/>
            <w:vAlign w:val="center"/>
          </w:tcPr>
          <w:p>
            <w:pPr>
              <w:spacing w:after="0" w:before="0"/>
            </w:pPr>
            <w:r>
              <w:rPr>
                <w:rFonts w:ascii="Arial" w:hAnsi="Arial"/>
              </w:rPr>
            </w:r>
            <w:r>
              <w:rPr>
                <w:rFonts w:ascii="Arial" w:hAnsi="Arial"/>
                <w:b w:val="0"/>
                <w:sz w:val="16"/>
              </w:rPr>
              <w:t>Angle fort Data &amp; IA : profils product IA, data engineer, MLOps, AMOA IA, sécurité IA.</w:t>
            </w:r>
          </w:p>
        </w:tc>
      </w:tr>
      <w:tr>
        <w:tc>
          <w:tcPr>
            <w:tcW w:type="dxa" w:w="3552"/>
            <w:vAlign w:val="center"/>
          </w:tcPr>
          <w:p>
            <w:pPr>
              <w:spacing w:after="0" w:before="0"/>
            </w:pPr>
            <w:r>
              <w:rPr>
                <w:rFonts w:ascii="Arial" w:hAnsi="Arial"/>
              </w:rPr>
            </w:r>
            <w:r>
              <w:rPr>
                <w:rFonts w:ascii="Arial" w:hAnsi="Arial"/>
                <w:b w:val="0"/>
                <w:sz w:val="16"/>
              </w:rPr>
              <w:t>Activité Fastor/Tilencia</w:t>
            </w:r>
          </w:p>
        </w:tc>
        <w:tc>
          <w:tcPr>
            <w:tcW w:type="dxa" w:w="3552"/>
            <w:vAlign w:val="center"/>
          </w:tcPr>
          <w:p>
            <w:pPr>
              <w:spacing w:after="0" w:before="0"/>
            </w:pPr>
            <w:r>
              <w:rPr>
                <w:rFonts w:ascii="Arial" w:hAnsi="Arial"/>
              </w:rPr>
            </w:r>
            <w:r>
              <w:rPr>
                <w:rFonts w:ascii="Arial" w:hAnsi="Arial"/>
                <w:b w:val="0"/>
                <w:sz w:val="16"/>
              </w:rPr>
              <w:t>Reporting interne : AG2R LA MONDIALE apparaît comme compte actif avec 4 AO traités et 15 CV envoyés en mars 2026, mais 0 entretien/signature sur ce mois.</w:t>
            </w:r>
          </w:p>
        </w:tc>
        <w:tc>
          <w:tcPr>
            <w:tcW w:type="dxa" w:w="3552"/>
            <w:vAlign w:val="center"/>
          </w:tcPr>
          <w:p>
            <w:pPr>
              <w:spacing w:after="0" w:before="0"/>
            </w:pPr>
            <w:r>
              <w:rPr>
                <w:rFonts w:ascii="Arial" w:hAnsi="Arial"/>
              </w:rPr>
            </w:r>
            <w:r>
              <w:rPr>
                <w:rFonts w:ascii="Arial" w:hAnsi="Arial"/>
                <w:b w:val="0"/>
                <w:sz w:val="16"/>
              </w:rPr>
              <w:t>Priorité : améliorer la qualité du ciblage et ouvrir des contacts directs hors plateforme.</w:t>
            </w:r>
          </w:p>
        </w:tc>
      </w:tr>
    </w:tbl>
    <w:p>
      <w:pPr>
        <w:pStyle w:val="Heading1"/>
      </w:pPr>
      <w:r>
        <w:t>3. Cartographie de décision à cibler</w:t>
      </w:r>
    </w:p>
    <w:p>
      <w:r>
        <w:rPr>
          <w:b/>
        </w:rPr>
        <w:t xml:space="preserve">Lecture de l’organisation cible : </w:t>
      </w:r>
      <w:r>
        <w:t>la cartographie ci-dessous est reconstituée à partir des informations publiques disponibles et des profils professionnels identifiés. Elle doit être utilisée comme base de chasse, puis validée au fil des échanges.</w:t>
      </w:r>
    </w:p>
    <w:tbl>
      <w:tblPr>
        <w:tblStyle w:val="TableGrid"/>
        <w:tblW w:type="auto" w:w="0"/>
        <w:jc w:val="center"/>
        <w:tblLook w:firstColumn="1" w:firstRow="1" w:lastColumn="0" w:lastRow="0" w:noHBand="0" w:noVBand="1" w:val="04A0"/>
      </w:tblPr>
      <w:tblGrid>
        <w:gridCol w:w="2664"/>
        <w:gridCol w:w="2664"/>
        <w:gridCol w:w="2664"/>
        <w:gridCol w:w="2664"/>
      </w:tblGrid>
      <w:tr>
        <w:trPr>
          <w:tblHeader w:val="true"/>
        </w:trPr>
        <w:tc>
          <w:tcPr>
            <w:tcW w:type="dxa" w:w="2664"/>
            <w:vAlign w:val="center"/>
            <w:shd w:fill="6F2082"/>
          </w:tcPr>
          <w:p>
            <w:pPr>
              <w:spacing w:after="0" w:before="0"/>
            </w:pPr>
            <w:r>
              <w:rPr>
                <w:rFonts w:ascii="Arial" w:hAnsi="Arial"/>
              </w:rPr>
            </w:r>
            <w:r>
              <w:rPr>
                <w:rFonts w:ascii="Arial" w:hAnsi="Arial"/>
                <w:b/>
                <w:color w:val="FFFFFF"/>
                <w:sz w:val="16"/>
              </w:rPr>
              <w:t>Niveau</w:t>
            </w:r>
          </w:p>
        </w:tc>
        <w:tc>
          <w:tcPr>
            <w:tcW w:type="dxa" w:w="2664"/>
            <w:vAlign w:val="center"/>
            <w:shd w:fill="6F2082"/>
          </w:tcPr>
          <w:p>
            <w:pPr>
              <w:spacing w:after="0" w:before="0"/>
            </w:pPr>
            <w:r>
              <w:rPr>
                <w:rFonts w:ascii="Arial" w:hAnsi="Arial"/>
              </w:rPr>
            </w:r>
            <w:r>
              <w:rPr>
                <w:rFonts w:ascii="Arial" w:hAnsi="Arial"/>
                <w:b/>
                <w:color w:val="FFFFFF"/>
                <w:sz w:val="16"/>
              </w:rPr>
              <w:t>Nom</w:t>
            </w:r>
          </w:p>
        </w:tc>
        <w:tc>
          <w:tcPr>
            <w:tcW w:type="dxa" w:w="2664"/>
            <w:vAlign w:val="center"/>
            <w:shd w:fill="6F2082"/>
          </w:tcPr>
          <w:p>
            <w:pPr>
              <w:spacing w:after="0" w:before="0"/>
            </w:pPr>
            <w:r>
              <w:rPr>
                <w:rFonts w:ascii="Arial" w:hAnsi="Arial"/>
              </w:rPr>
            </w:r>
            <w:r>
              <w:rPr>
                <w:rFonts w:ascii="Arial" w:hAnsi="Arial"/>
                <w:b/>
                <w:color w:val="FFFFFF"/>
                <w:sz w:val="16"/>
              </w:rPr>
              <w:t>Fonction / rôle</w:t>
            </w:r>
          </w:p>
        </w:tc>
        <w:tc>
          <w:tcPr>
            <w:tcW w:type="dxa" w:w="2664"/>
            <w:vAlign w:val="center"/>
            <w:shd w:fill="6F2082"/>
          </w:tcPr>
          <w:p>
            <w:pPr>
              <w:spacing w:after="0" w:before="0"/>
            </w:pPr>
            <w:r>
              <w:rPr>
                <w:rFonts w:ascii="Arial" w:hAnsi="Arial"/>
              </w:rPr>
            </w:r>
            <w:r>
              <w:rPr>
                <w:rFonts w:ascii="Arial" w:hAnsi="Arial"/>
                <w:b/>
                <w:color w:val="FFFFFF"/>
                <w:sz w:val="16"/>
              </w:rPr>
              <w:t>Pourquoi le contacter</w:t>
            </w:r>
          </w:p>
        </w:tc>
      </w:tr>
      <w:tr>
        <w:tc>
          <w:tcPr>
            <w:tcW w:type="dxa" w:w="2664"/>
            <w:vAlign w:val="center"/>
          </w:tcPr>
          <w:p>
            <w:pPr>
              <w:spacing w:after="0" w:before="0"/>
            </w:pPr>
            <w:r>
              <w:rPr>
                <w:rFonts w:ascii="Arial" w:hAnsi="Arial"/>
              </w:rPr>
            </w:r>
            <w:r>
              <w:rPr>
                <w:rFonts w:ascii="Arial" w:hAnsi="Arial"/>
                <w:b w:val="0"/>
                <w:sz w:val="16"/>
              </w:rPr>
              <w:t>Direction générale</w:t>
            </w:r>
          </w:p>
        </w:tc>
        <w:tc>
          <w:tcPr>
            <w:tcW w:type="dxa" w:w="2664"/>
            <w:vAlign w:val="center"/>
          </w:tcPr>
          <w:p>
            <w:pPr>
              <w:spacing w:after="0" w:before="0"/>
            </w:pPr>
            <w:r>
              <w:rPr>
                <w:rFonts w:ascii="Arial" w:hAnsi="Arial"/>
              </w:rPr>
            </w:r>
            <w:r>
              <w:rPr>
                <w:rFonts w:ascii="Arial" w:hAnsi="Arial"/>
                <w:b w:val="0"/>
                <w:sz w:val="16"/>
              </w:rPr>
              <w:t>Fabrice HEYRIÈS</w:t>
            </w:r>
          </w:p>
        </w:tc>
        <w:tc>
          <w:tcPr>
            <w:tcW w:type="dxa" w:w="2664"/>
            <w:vAlign w:val="center"/>
          </w:tcPr>
          <w:p>
            <w:pPr>
              <w:spacing w:after="0" w:before="0"/>
            </w:pPr>
            <w:r>
              <w:rPr>
                <w:rFonts w:ascii="Arial" w:hAnsi="Arial"/>
              </w:rPr>
            </w:r>
            <w:r>
              <w:rPr>
                <w:rFonts w:ascii="Arial" w:hAnsi="Arial"/>
                <w:b w:val="0"/>
                <w:sz w:val="16"/>
              </w:rPr>
              <w:t>Directeur général</w:t>
            </w:r>
          </w:p>
        </w:tc>
        <w:tc>
          <w:tcPr>
            <w:tcW w:type="dxa" w:w="2664"/>
            <w:vAlign w:val="center"/>
          </w:tcPr>
          <w:p>
            <w:pPr>
              <w:spacing w:after="0" w:before="0"/>
            </w:pPr>
            <w:r>
              <w:rPr>
                <w:rFonts w:ascii="Arial" w:hAnsi="Arial"/>
              </w:rPr>
            </w:r>
            <w:r>
              <w:rPr>
                <w:rFonts w:ascii="Arial" w:hAnsi="Arial"/>
                <w:b w:val="0"/>
                <w:sz w:val="16"/>
              </w:rPr>
              <w:t>Sponsor institutionnel, à ne pas attaquer en premier sauf recommandation interne.</w:t>
            </w:r>
          </w:p>
        </w:tc>
      </w:tr>
      <w:tr>
        <w:tc>
          <w:tcPr>
            <w:tcW w:type="dxa" w:w="2664"/>
            <w:vAlign w:val="center"/>
          </w:tcPr>
          <w:p>
            <w:pPr>
              <w:spacing w:after="0" w:before="0"/>
            </w:pPr>
            <w:r>
              <w:rPr>
                <w:rFonts w:ascii="Arial" w:hAnsi="Arial"/>
              </w:rPr>
            </w:r>
            <w:r>
              <w:rPr>
                <w:rFonts w:ascii="Arial" w:hAnsi="Arial"/>
                <w:b w:val="0"/>
                <w:sz w:val="16"/>
              </w:rPr>
              <w:t>Direction générale</w:t>
            </w:r>
          </w:p>
        </w:tc>
        <w:tc>
          <w:tcPr>
            <w:tcW w:type="dxa" w:w="2664"/>
            <w:vAlign w:val="center"/>
          </w:tcPr>
          <w:p>
            <w:pPr>
              <w:spacing w:after="0" w:before="0"/>
            </w:pPr>
            <w:r>
              <w:rPr>
                <w:rFonts w:ascii="Arial" w:hAnsi="Arial"/>
              </w:rPr>
            </w:r>
            <w:r>
              <w:rPr>
                <w:rFonts w:ascii="Arial" w:hAnsi="Arial"/>
                <w:b w:val="0"/>
                <w:sz w:val="16"/>
              </w:rPr>
              <w:t>Philippe DABAT</w:t>
            </w:r>
          </w:p>
        </w:tc>
        <w:tc>
          <w:tcPr>
            <w:tcW w:type="dxa" w:w="2664"/>
            <w:vAlign w:val="center"/>
          </w:tcPr>
          <w:p>
            <w:pPr>
              <w:spacing w:after="0" w:before="0"/>
            </w:pPr>
            <w:r>
              <w:rPr>
                <w:rFonts w:ascii="Arial" w:hAnsi="Arial"/>
              </w:rPr>
            </w:r>
            <w:r>
              <w:rPr>
                <w:rFonts w:ascii="Arial" w:hAnsi="Arial"/>
                <w:b w:val="0"/>
                <w:sz w:val="16"/>
              </w:rPr>
              <w:t>DGA - supervision santé/prévoyance, retraite complémentaire, SI &amp; digital, instances</w:t>
            </w:r>
          </w:p>
        </w:tc>
        <w:tc>
          <w:tcPr>
            <w:tcW w:type="dxa" w:w="2664"/>
            <w:vAlign w:val="center"/>
          </w:tcPr>
          <w:p>
            <w:pPr>
              <w:spacing w:after="0" w:before="0"/>
            </w:pPr>
            <w:r>
              <w:rPr>
                <w:rFonts w:ascii="Arial" w:hAnsi="Arial"/>
              </w:rPr>
            </w:r>
            <w:r>
              <w:rPr>
                <w:rFonts w:ascii="Arial" w:hAnsi="Arial"/>
                <w:b w:val="0"/>
                <w:sz w:val="16"/>
              </w:rPr>
              <w:t>Point haut très pertinent pour raccrocher SI et métiers protection sociale.</w:t>
            </w:r>
          </w:p>
        </w:tc>
      </w:tr>
      <w:tr>
        <w:tc>
          <w:tcPr>
            <w:tcW w:type="dxa" w:w="2664"/>
            <w:vAlign w:val="center"/>
          </w:tcPr>
          <w:p>
            <w:pPr>
              <w:spacing w:after="0" w:before="0"/>
            </w:pPr>
            <w:r>
              <w:rPr>
                <w:rFonts w:ascii="Arial" w:hAnsi="Arial"/>
              </w:rPr>
            </w:r>
            <w:r>
              <w:rPr>
                <w:rFonts w:ascii="Arial" w:hAnsi="Arial"/>
                <w:b w:val="0"/>
                <w:sz w:val="16"/>
              </w:rPr>
              <w:t>SI &amp; Digital</w:t>
            </w:r>
          </w:p>
        </w:tc>
        <w:tc>
          <w:tcPr>
            <w:tcW w:type="dxa" w:w="2664"/>
            <w:vAlign w:val="center"/>
          </w:tcPr>
          <w:p>
            <w:pPr>
              <w:spacing w:after="0" w:before="0"/>
            </w:pPr>
            <w:r>
              <w:rPr>
                <w:rFonts w:ascii="Arial" w:hAnsi="Arial"/>
              </w:rPr>
            </w:r>
            <w:r>
              <w:rPr>
                <w:rFonts w:ascii="Arial" w:hAnsi="Arial"/>
                <w:b w:val="0"/>
                <w:sz w:val="16"/>
              </w:rPr>
              <w:t>Pascal MARTINEZ</w:t>
            </w:r>
          </w:p>
        </w:tc>
        <w:tc>
          <w:tcPr>
            <w:tcW w:type="dxa" w:w="2664"/>
            <w:vAlign w:val="center"/>
          </w:tcPr>
          <w:p>
            <w:pPr>
              <w:spacing w:after="0" w:before="0"/>
            </w:pPr>
            <w:r>
              <w:rPr>
                <w:rFonts w:ascii="Arial" w:hAnsi="Arial"/>
              </w:rPr>
            </w:r>
            <w:r>
              <w:rPr>
                <w:rFonts w:ascii="Arial" w:hAnsi="Arial"/>
                <w:b w:val="0"/>
                <w:sz w:val="16"/>
              </w:rPr>
              <w:t>Directeur SI et Digital, membre du COMEX</w:t>
            </w:r>
          </w:p>
        </w:tc>
        <w:tc>
          <w:tcPr>
            <w:tcW w:type="dxa" w:w="2664"/>
            <w:vAlign w:val="center"/>
          </w:tcPr>
          <w:p>
            <w:pPr>
              <w:spacing w:after="0" w:before="0"/>
            </w:pPr>
            <w:r>
              <w:rPr>
                <w:rFonts w:ascii="Arial" w:hAnsi="Arial"/>
              </w:rPr>
            </w:r>
            <w:r>
              <w:rPr>
                <w:rFonts w:ascii="Arial" w:hAnsi="Arial"/>
                <w:b w:val="0"/>
                <w:sz w:val="16"/>
              </w:rPr>
              <w:t>Décideur prioritaire pour une approche structurée SI, digital, data, cyber.</w:t>
            </w:r>
          </w:p>
        </w:tc>
      </w:tr>
      <w:tr>
        <w:tc>
          <w:tcPr>
            <w:tcW w:type="dxa" w:w="2664"/>
            <w:vAlign w:val="center"/>
          </w:tcPr>
          <w:p>
            <w:pPr>
              <w:spacing w:after="0" w:before="0"/>
            </w:pPr>
            <w:r>
              <w:rPr>
                <w:rFonts w:ascii="Arial" w:hAnsi="Arial"/>
              </w:rPr>
            </w:r>
            <w:r>
              <w:rPr>
                <w:rFonts w:ascii="Arial" w:hAnsi="Arial"/>
                <w:b w:val="0"/>
                <w:sz w:val="16"/>
              </w:rPr>
              <w:t>DSI relation client / digital / data</w:t>
            </w:r>
          </w:p>
        </w:tc>
        <w:tc>
          <w:tcPr>
            <w:tcW w:type="dxa" w:w="2664"/>
            <w:vAlign w:val="center"/>
          </w:tcPr>
          <w:p>
            <w:pPr>
              <w:spacing w:after="0" w:before="0"/>
            </w:pPr>
            <w:r>
              <w:rPr>
                <w:rFonts w:ascii="Arial" w:hAnsi="Arial"/>
              </w:rPr>
            </w:r>
            <w:r>
              <w:rPr>
                <w:rFonts w:ascii="Arial" w:hAnsi="Arial"/>
                <w:b w:val="0"/>
                <w:sz w:val="16"/>
              </w:rPr>
              <w:t>Stéphane LAPIERRE</w:t>
            </w:r>
          </w:p>
        </w:tc>
        <w:tc>
          <w:tcPr>
            <w:tcW w:type="dxa" w:w="2664"/>
            <w:vAlign w:val="center"/>
          </w:tcPr>
          <w:p>
            <w:pPr>
              <w:spacing w:after="0" w:before="0"/>
            </w:pPr>
            <w:r>
              <w:rPr>
                <w:rFonts w:ascii="Arial" w:hAnsi="Arial"/>
              </w:rPr>
            </w:r>
            <w:r>
              <w:rPr>
                <w:rFonts w:ascii="Arial" w:hAnsi="Arial"/>
                <w:b w:val="0"/>
                <w:sz w:val="16"/>
              </w:rPr>
              <w:t>DSI relation client, digital, data et plateformes mutualisées</w:t>
            </w:r>
          </w:p>
        </w:tc>
        <w:tc>
          <w:tcPr>
            <w:tcW w:type="dxa" w:w="2664"/>
            <w:vAlign w:val="center"/>
          </w:tcPr>
          <w:p>
            <w:pPr>
              <w:spacing w:after="0" w:before="0"/>
            </w:pPr>
            <w:r>
              <w:rPr>
                <w:rFonts w:ascii="Arial" w:hAnsi="Arial"/>
              </w:rPr>
            </w:r>
            <w:r>
              <w:rPr>
                <w:rFonts w:ascii="Arial" w:hAnsi="Arial"/>
                <w:b w:val="0"/>
                <w:sz w:val="16"/>
              </w:rPr>
              <w:t>Sponsor probable sur Salesforce, digital, data, plateformes et expérience client.</w:t>
            </w:r>
          </w:p>
        </w:tc>
      </w:tr>
      <w:tr>
        <w:tc>
          <w:tcPr>
            <w:tcW w:type="dxa" w:w="2664"/>
            <w:vAlign w:val="center"/>
          </w:tcPr>
          <w:p>
            <w:pPr>
              <w:spacing w:after="0" w:before="0"/>
            </w:pPr>
            <w:r>
              <w:rPr>
                <w:rFonts w:ascii="Arial" w:hAnsi="Arial"/>
              </w:rPr>
            </w:r>
            <w:r>
              <w:rPr>
                <w:rFonts w:ascii="Arial" w:hAnsi="Arial"/>
                <w:b w:val="0"/>
                <w:sz w:val="16"/>
              </w:rPr>
              <w:t>Data &amp; IA</w:t>
            </w:r>
          </w:p>
        </w:tc>
        <w:tc>
          <w:tcPr>
            <w:tcW w:type="dxa" w:w="2664"/>
            <w:vAlign w:val="center"/>
          </w:tcPr>
          <w:p>
            <w:pPr>
              <w:spacing w:after="0" w:before="0"/>
            </w:pPr>
            <w:r>
              <w:rPr>
                <w:rFonts w:ascii="Arial" w:hAnsi="Arial"/>
              </w:rPr>
            </w:r>
            <w:r>
              <w:rPr>
                <w:rFonts w:ascii="Arial" w:hAnsi="Arial"/>
                <w:b w:val="0"/>
                <w:sz w:val="16"/>
              </w:rPr>
              <w:t>Pierre-Emmanuel LE PARCO</w:t>
            </w:r>
          </w:p>
        </w:tc>
        <w:tc>
          <w:tcPr>
            <w:tcW w:type="dxa" w:w="2664"/>
            <w:vAlign w:val="center"/>
          </w:tcPr>
          <w:p>
            <w:pPr>
              <w:spacing w:after="0" w:before="0"/>
            </w:pPr>
            <w:r>
              <w:rPr>
                <w:rFonts w:ascii="Arial" w:hAnsi="Arial"/>
              </w:rPr>
            </w:r>
            <w:r>
              <w:rPr>
                <w:rFonts w:ascii="Arial" w:hAnsi="Arial"/>
                <w:b w:val="0"/>
                <w:sz w:val="16"/>
              </w:rPr>
              <w:t>Directeur Data &amp; IA</w:t>
            </w:r>
          </w:p>
        </w:tc>
        <w:tc>
          <w:tcPr>
            <w:tcW w:type="dxa" w:w="2664"/>
            <w:vAlign w:val="center"/>
          </w:tcPr>
          <w:p>
            <w:pPr>
              <w:spacing w:after="0" w:before="0"/>
            </w:pPr>
            <w:r>
              <w:rPr>
                <w:rFonts w:ascii="Arial" w:hAnsi="Arial"/>
              </w:rPr>
            </w:r>
            <w:r>
              <w:rPr>
                <w:rFonts w:ascii="Arial" w:hAnsi="Arial"/>
                <w:b w:val="0"/>
                <w:sz w:val="16"/>
              </w:rPr>
              <w:t>Entrée prioritaire sur Almia, industrialisation IA et gouvernance data.</w:t>
            </w:r>
          </w:p>
        </w:tc>
      </w:tr>
      <w:tr>
        <w:tc>
          <w:tcPr>
            <w:tcW w:type="dxa" w:w="2664"/>
            <w:vAlign w:val="center"/>
          </w:tcPr>
          <w:p>
            <w:pPr>
              <w:spacing w:after="0" w:before="0"/>
            </w:pPr>
            <w:r>
              <w:rPr>
                <w:rFonts w:ascii="Arial" w:hAnsi="Arial"/>
              </w:rPr>
            </w:r>
            <w:r>
              <w:rPr>
                <w:rFonts w:ascii="Arial" w:hAnsi="Arial"/>
                <w:b w:val="0"/>
                <w:sz w:val="16"/>
              </w:rPr>
              <w:t>Cyber</w:t>
            </w:r>
          </w:p>
        </w:tc>
        <w:tc>
          <w:tcPr>
            <w:tcW w:type="dxa" w:w="2664"/>
            <w:vAlign w:val="center"/>
          </w:tcPr>
          <w:p>
            <w:pPr>
              <w:spacing w:after="0" w:before="0"/>
            </w:pPr>
            <w:r>
              <w:rPr>
                <w:rFonts w:ascii="Arial" w:hAnsi="Arial"/>
              </w:rPr>
            </w:r>
            <w:r>
              <w:rPr>
                <w:rFonts w:ascii="Arial" w:hAnsi="Arial"/>
                <w:b w:val="0"/>
                <w:sz w:val="16"/>
              </w:rPr>
              <w:t>Xavier MIGAUD</w:t>
            </w:r>
          </w:p>
        </w:tc>
        <w:tc>
          <w:tcPr>
            <w:tcW w:type="dxa" w:w="2664"/>
            <w:vAlign w:val="center"/>
          </w:tcPr>
          <w:p>
            <w:pPr>
              <w:spacing w:after="0" w:before="0"/>
            </w:pPr>
            <w:r>
              <w:rPr>
                <w:rFonts w:ascii="Arial" w:hAnsi="Arial"/>
              </w:rPr>
            </w:r>
            <w:r>
              <w:rPr>
                <w:rFonts w:ascii="Arial" w:hAnsi="Arial"/>
                <w:b w:val="0"/>
                <w:sz w:val="16"/>
              </w:rPr>
              <w:t>Directeur cyber sécurité / RSSI Groupe</w:t>
            </w:r>
          </w:p>
        </w:tc>
        <w:tc>
          <w:tcPr>
            <w:tcW w:type="dxa" w:w="2664"/>
            <w:vAlign w:val="center"/>
          </w:tcPr>
          <w:p>
            <w:pPr>
              <w:spacing w:after="0" w:before="0"/>
            </w:pPr>
            <w:r>
              <w:rPr>
                <w:rFonts w:ascii="Arial" w:hAnsi="Arial"/>
              </w:rPr>
            </w:r>
            <w:r>
              <w:rPr>
                <w:rFonts w:ascii="Arial" w:hAnsi="Arial"/>
                <w:b w:val="0"/>
                <w:sz w:val="16"/>
              </w:rPr>
              <w:t>Entrée prioritaire cyber, DORA, NIS2, GRC, IAM, SOC.</w:t>
            </w:r>
          </w:p>
        </w:tc>
      </w:tr>
      <w:tr>
        <w:tc>
          <w:tcPr>
            <w:tcW w:type="dxa" w:w="2664"/>
            <w:vAlign w:val="center"/>
          </w:tcPr>
          <w:p>
            <w:pPr>
              <w:spacing w:after="0" w:before="0"/>
            </w:pPr>
            <w:r>
              <w:rPr>
                <w:rFonts w:ascii="Arial" w:hAnsi="Arial"/>
              </w:rPr>
            </w:r>
            <w:r>
              <w:rPr>
                <w:rFonts w:ascii="Arial" w:hAnsi="Arial"/>
                <w:b w:val="0"/>
                <w:sz w:val="16"/>
              </w:rPr>
              <w:t>Cyber</w:t>
            </w:r>
          </w:p>
        </w:tc>
        <w:tc>
          <w:tcPr>
            <w:tcW w:type="dxa" w:w="2664"/>
            <w:vAlign w:val="center"/>
          </w:tcPr>
          <w:p>
            <w:pPr>
              <w:spacing w:after="0" w:before="0"/>
            </w:pPr>
            <w:r>
              <w:rPr>
                <w:rFonts w:ascii="Arial" w:hAnsi="Arial"/>
              </w:rPr>
            </w:r>
            <w:r>
              <w:rPr>
                <w:rFonts w:ascii="Arial" w:hAnsi="Arial"/>
                <w:b w:val="0"/>
                <w:sz w:val="16"/>
              </w:rPr>
              <w:t>Axel BOUCHERY</w:t>
            </w:r>
          </w:p>
        </w:tc>
        <w:tc>
          <w:tcPr>
            <w:tcW w:type="dxa" w:w="2664"/>
            <w:vAlign w:val="center"/>
          </w:tcPr>
          <w:p>
            <w:pPr>
              <w:spacing w:after="0" w:before="0"/>
            </w:pPr>
            <w:r>
              <w:rPr>
                <w:rFonts w:ascii="Arial" w:hAnsi="Arial"/>
              </w:rPr>
            </w:r>
            <w:r>
              <w:rPr>
                <w:rFonts w:ascii="Arial" w:hAnsi="Arial"/>
                <w:b w:val="0"/>
                <w:sz w:val="16"/>
              </w:rPr>
              <w:t>Adjoint RSSI / Deputy Group CISO</w:t>
            </w:r>
          </w:p>
        </w:tc>
        <w:tc>
          <w:tcPr>
            <w:tcW w:type="dxa" w:w="2664"/>
            <w:vAlign w:val="center"/>
          </w:tcPr>
          <w:p>
            <w:pPr>
              <w:spacing w:after="0" w:before="0"/>
            </w:pPr>
            <w:r>
              <w:rPr>
                <w:rFonts w:ascii="Arial" w:hAnsi="Arial"/>
              </w:rPr>
            </w:r>
            <w:r>
              <w:rPr>
                <w:rFonts w:ascii="Arial" w:hAnsi="Arial"/>
                <w:b w:val="0"/>
                <w:sz w:val="16"/>
              </w:rPr>
              <w:t>Entrée opérationnelle pour besoins cyber terrain.</w:t>
            </w:r>
          </w:p>
        </w:tc>
      </w:tr>
      <w:tr>
        <w:tc>
          <w:tcPr>
            <w:tcW w:type="dxa" w:w="2664"/>
            <w:vAlign w:val="center"/>
          </w:tcPr>
          <w:p>
            <w:pPr>
              <w:spacing w:after="0" w:before="0"/>
            </w:pPr>
            <w:r>
              <w:rPr>
                <w:rFonts w:ascii="Arial" w:hAnsi="Arial"/>
              </w:rPr>
            </w:r>
            <w:r>
              <w:rPr>
                <w:rFonts w:ascii="Arial" w:hAnsi="Arial"/>
                <w:b w:val="0"/>
                <w:sz w:val="16"/>
              </w:rPr>
              <w:t>Opérations &amp; sécurité</w:t>
            </w:r>
          </w:p>
        </w:tc>
        <w:tc>
          <w:tcPr>
            <w:tcW w:type="dxa" w:w="2664"/>
            <w:vAlign w:val="center"/>
          </w:tcPr>
          <w:p>
            <w:pPr>
              <w:spacing w:after="0" w:before="0"/>
            </w:pPr>
            <w:r>
              <w:rPr>
                <w:rFonts w:ascii="Arial" w:hAnsi="Arial"/>
              </w:rPr>
            </w:r>
            <w:r>
              <w:rPr>
                <w:rFonts w:ascii="Arial" w:hAnsi="Arial"/>
                <w:b w:val="0"/>
                <w:sz w:val="16"/>
              </w:rPr>
              <w:t>Stéphane LAMBERT</w:t>
            </w:r>
          </w:p>
        </w:tc>
        <w:tc>
          <w:tcPr>
            <w:tcW w:type="dxa" w:w="2664"/>
            <w:vAlign w:val="center"/>
          </w:tcPr>
          <w:p>
            <w:pPr>
              <w:spacing w:after="0" w:before="0"/>
            </w:pPr>
            <w:r>
              <w:rPr>
                <w:rFonts w:ascii="Arial" w:hAnsi="Arial"/>
              </w:rPr>
            </w:r>
            <w:r>
              <w:rPr>
                <w:rFonts w:ascii="Arial" w:hAnsi="Arial"/>
                <w:b w:val="0"/>
                <w:sz w:val="16"/>
              </w:rPr>
              <w:t>Directeur opérations et sécurité</w:t>
            </w:r>
          </w:p>
        </w:tc>
        <w:tc>
          <w:tcPr>
            <w:tcW w:type="dxa" w:w="2664"/>
            <w:vAlign w:val="center"/>
          </w:tcPr>
          <w:p>
            <w:pPr>
              <w:spacing w:after="0" w:before="0"/>
            </w:pPr>
            <w:r>
              <w:rPr>
                <w:rFonts w:ascii="Arial" w:hAnsi="Arial"/>
              </w:rPr>
            </w:r>
            <w:r>
              <w:rPr>
                <w:rFonts w:ascii="Arial" w:hAnsi="Arial"/>
                <w:b w:val="0"/>
                <w:sz w:val="16"/>
              </w:rPr>
              <w:t>Angle production, MCO/MCS, exploitation et sécurité opérationnelle.</w:t>
            </w:r>
          </w:p>
        </w:tc>
      </w:tr>
      <w:tr>
        <w:tc>
          <w:tcPr>
            <w:tcW w:type="dxa" w:w="2664"/>
            <w:vAlign w:val="center"/>
          </w:tcPr>
          <w:p>
            <w:pPr>
              <w:spacing w:after="0" w:before="0"/>
            </w:pPr>
            <w:r>
              <w:rPr>
                <w:rFonts w:ascii="Arial" w:hAnsi="Arial"/>
              </w:rPr>
            </w:r>
            <w:r>
              <w:rPr>
                <w:rFonts w:ascii="Arial" w:hAnsi="Arial"/>
                <w:b w:val="0"/>
                <w:sz w:val="16"/>
              </w:rPr>
              <w:t>Fournisseurs / SAM</w:t>
            </w:r>
          </w:p>
        </w:tc>
        <w:tc>
          <w:tcPr>
            <w:tcW w:type="dxa" w:w="2664"/>
            <w:vAlign w:val="center"/>
          </w:tcPr>
          <w:p>
            <w:pPr>
              <w:spacing w:after="0" w:before="0"/>
            </w:pPr>
            <w:r>
              <w:rPr>
                <w:rFonts w:ascii="Arial" w:hAnsi="Arial"/>
              </w:rPr>
            </w:r>
            <w:r>
              <w:rPr>
                <w:rFonts w:ascii="Arial" w:hAnsi="Arial"/>
                <w:b w:val="0"/>
                <w:sz w:val="16"/>
              </w:rPr>
              <w:t>Yann TANIEL</w:t>
            </w:r>
          </w:p>
        </w:tc>
        <w:tc>
          <w:tcPr>
            <w:tcW w:type="dxa" w:w="2664"/>
            <w:vAlign w:val="center"/>
          </w:tcPr>
          <w:p>
            <w:pPr>
              <w:spacing w:after="0" w:before="0"/>
            </w:pPr>
            <w:r>
              <w:rPr>
                <w:rFonts w:ascii="Arial" w:hAnsi="Arial"/>
              </w:rPr>
            </w:r>
            <w:r>
              <w:rPr>
                <w:rFonts w:ascii="Arial" w:hAnsi="Arial"/>
                <w:b w:val="0"/>
                <w:sz w:val="16"/>
              </w:rPr>
              <w:t>Responsable pilotage fournisseurs &amp; SAM</w:t>
            </w:r>
          </w:p>
        </w:tc>
        <w:tc>
          <w:tcPr>
            <w:tcW w:type="dxa" w:w="2664"/>
            <w:vAlign w:val="center"/>
          </w:tcPr>
          <w:p>
            <w:pPr>
              <w:spacing w:after="0" w:before="0"/>
            </w:pPr>
            <w:r>
              <w:rPr>
                <w:rFonts w:ascii="Arial" w:hAnsi="Arial"/>
              </w:rPr>
            </w:r>
            <w:r>
              <w:rPr>
                <w:rFonts w:ascii="Arial" w:hAnsi="Arial"/>
                <w:b w:val="0"/>
                <w:sz w:val="16"/>
              </w:rPr>
              <w:t>Angle rationalisation fournisseurs, coûts IT, licences et contractualisation.</w:t>
            </w:r>
          </w:p>
        </w:tc>
      </w:tr>
      <w:tr>
        <w:tc>
          <w:tcPr>
            <w:tcW w:type="dxa" w:w="2664"/>
            <w:vAlign w:val="center"/>
          </w:tcPr>
          <w:p>
            <w:pPr>
              <w:spacing w:after="0" w:before="0"/>
            </w:pPr>
            <w:r>
              <w:rPr>
                <w:rFonts w:ascii="Arial" w:hAnsi="Arial"/>
              </w:rPr>
            </w:r>
            <w:r>
              <w:rPr>
                <w:rFonts w:ascii="Arial" w:hAnsi="Arial"/>
                <w:b w:val="0"/>
                <w:sz w:val="16"/>
              </w:rPr>
              <w:t>Métiers retraite</w:t>
            </w:r>
          </w:p>
        </w:tc>
        <w:tc>
          <w:tcPr>
            <w:tcW w:type="dxa" w:w="2664"/>
            <w:vAlign w:val="center"/>
          </w:tcPr>
          <w:p>
            <w:pPr>
              <w:spacing w:after="0" w:before="0"/>
            </w:pPr>
            <w:r>
              <w:rPr>
                <w:rFonts w:ascii="Arial" w:hAnsi="Arial"/>
              </w:rPr>
            </w:r>
            <w:r>
              <w:rPr>
                <w:rFonts w:ascii="Arial" w:hAnsi="Arial"/>
                <w:b w:val="0"/>
                <w:sz w:val="16"/>
              </w:rPr>
              <w:t>François RINGAUD</w:t>
            </w:r>
          </w:p>
        </w:tc>
        <w:tc>
          <w:tcPr>
            <w:tcW w:type="dxa" w:w="2664"/>
            <w:vAlign w:val="center"/>
          </w:tcPr>
          <w:p>
            <w:pPr>
              <w:spacing w:after="0" w:before="0"/>
            </w:pPr>
            <w:r>
              <w:rPr>
                <w:rFonts w:ascii="Arial" w:hAnsi="Arial"/>
              </w:rPr>
            </w:r>
            <w:r>
              <w:rPr>
                <w:rFonts w:ascii="Arial" w:hAnsi="Arial"/>
                <w:b w:val="0"/>
                <w:sz w:val="16"/>
              </w:rPr>
              <w:t>Direction retraite complémentaire et action sociale</w:t>
            </w:r>
          </w:p>
        </w:tc>
        <w:tc>
          <w:tcPr>
            <w:tcW w:type="dxa" w:w="2664"/>
            <w:vAlign w:val="center"/>
          </w:tcPr>
          <w:p>
            <w:pPr>
              <w:spacing w:after="0" w:before="0"/>
            </w:pPr>
            <w:r>
              <w:rPr>
                <w:rFonts w:ascii="Arial" w:hAnsi="Arial"/>
              </w:rPr>
            </w:r>
            <w:r>
              <w:rPr>
                <w:rFonts w:ascii="Arial" w:hAnsi="Arial"/>
                <w:b w:val="0"/>
                <w:sz w:val="16"/>
              </w:rPr>
              <w:t>Angle AMOA retraite, GCE, DSN, déploiement, support fonctionnel.</w:t>
            </w:r>
          </w:p>
        </w:tc>
      </w:tr>
      <w:tr>
        <w:tc>
          <w:tcPr>
            <w:tcW w:type="dxa" w:w="2664"/>
            <w:vAlign w:val="center"/>
          </w:tcPr>
          <w:p>
            <w:pPr>
              <w:spacing w:after="0" w:before="0"/>
            </w:pPr>
            <w:r>
              <w:rPr>
                <w:rFonts w:ascii="Arial" w:hAnsi="Arial"/>
              </w:rPr>
            </w:r>
            <w:r>
              <w:rPr>
                <w:rFonts w:ascii="Arial" w:hAnsi="Arial"/>
                <w:b w:val="0"/>
                <w:sz w:val="16"/>
              </w:rPr>
              <w:t>Métiers santé/prévoyance</w:t>
            </w:r>
          </w:p>
        </w:tc>
        <w:tc>
          <w:tcPr>
            <w:tcW w:type="dxa" w:w="2664"/>
            <w:vAlign w:val="center"/>
          </w:tcPr>
          <w:p>
            <w:pPr>
              <w:spacing w:after="0" w:before="0"/>
            </w:pPr>
            <w:r>
              <w:rPr>
                <w:rFonts w:ascii="Arial" w:hAnsi="Arial"/>
              </w:rPr>
            </w:r>
            <w:r>
              <w:rPr>
                <w:rFonts w:ascii="Arial" w:hAnsi="Arial"/>
                <w:b w:val="0"/>
                <w:sz w:val="16"/>
              </w:rPr>
              <w:t>Pascale SOYEUX</w:t>
            </w:r>
          </w:p>
        </w:tc>
        <w:tc>
          <w:tcPr>
            <w:tcW w:type="dxa" w:w="2664"/>
            <w:vAlign w:val="center"/>
          </w:tcPr>
          <w:p>
            <w:pPr>
              <w:spacing w:after="0" w:before="0"/>
            </w:pPr>
            <w:r>
              <w:rPr>
                <w:rFonts w:ascii="Arial" w:hAnsi="Arial"/>
              </w:rPr>
            </w:r>
            <w:r>
              <w:rPr>
                <w:rFonts w:ascii="Arial" w:hAnsi="Arial"/>
                <w:b w:val="0"/>
                <w:sz w:val="16"/>
              </w:rPr>
              <w:t>Direction santé, prévoyance et épargne-retraite collective</w:t>
            </w:r>
          </w:p>
        </w:tc>
        <w:tc>
          <w:tcPr>
            <w:tcW w:type="dxa" w:w="2664"/>
            <w:vAlign w:val="center"/>
          </w:tcPr>
          <w:p>
            <w:pPr>
              <w:spacing w:after="0" w:before="0"/>
            </w:pPr>
            <w:r>
              <w:rPr>
                <w:rFonts w:ascii="Arial" w:hAnsi="Arial"/>
              </w:rPr>
            </w:r>
            <w:r>
              <w:rPr>
                <w:rFonts w:ascii="Arial" w:hAnsi="Arial"/>
                <w:b w:val="0"/>
                <w:sz w:val="16"/>
              </w:rPr>
              <w:t>Angle DSN, back-office prévoyance/santé, parcours métier.</w:t>
            </w:r>
          </w:p>
        </w:tc>
      </w:tr>
      <w:tr>
        <w:tc>
          <w:tcPr>
            <w:tcW w:type="dxa" w:w="2664"/>
            <w:vAlign w:val="center"/>
          </w:tcPr>
          <w:p>
            <w:pPr>
              <w:spacing w:after="0" w:before="0"/>
            </w:pPr>
            <w:r>
              <w:rPr>
                <w:rFonts w:ascii="Arial" w:hAnsi="Arial"/>
              </w:rPr>
            </w:r>
            <w:r>
              <w:rPr>
                <w:rFonts w:ascii="Arial" w:hAnsi="Arial"/>
                <w:b w:val="0"/>
                <w:sz w:val="16"/>
              </w:rPr>
              <w:t>Transformation</w:t>
            </w:r>
          </w:p>
        </w:tc>
        <w:tc>
          <w:tcPr>
            <w:tcW w:type="dxa" w:w="2664"/>
            <w:vAlign w:val="center"/>
          </w:tcPr>
          <w:p>
            <w:pPr>
              <w:spacing w:after="0" w:before="0"/>
            </w:pPr>
            <w:r>
              <w:rPr>
                <w:rFonts w:ascii="Arial" w:hAnsi="Arial"/>
              </w:rPr>
            </w:r>
            <w:r>
              <w:rPr>
                <w:rFonts w:ascii="Arial" w:hAnsi="Arial"/>
                <w:b w:val="0"/>
                <w:sz w:val="16"/>
              </w:rPr>
              <w:t>Marjorie de JAEGHERE</w:t>
            </w:r>
          </w:p>
        </w:tc>
        <w:tc>
          <w:tcPr>
            <w:tcW w:type="dxa" w:w="2664"/>
            <w:vAlign w:val="center"/>
          </w:tcPr>
          <w:p>
            <w:pPr>
              <w:spacing w:after="0" w:before="0"/>
            </w:pPr>
            <w:r>
              <w:rPr>
                <w:rFonts w:ascii="Arial" w:hAnsi="Arial"/>
              </w:rPr>
            </w:r>
            <w:r>
              <w:rPr>
                <w:rFonts w:ascii="Arial" w:hAnsi="Arial"/>
                <w:b w:val="0"/>
                <w:sz w:val="16"/>
              </w:rPr>
              <w:t>Stratégie, transformation, innovation, risques opérationnels</w:t>
            </w:r>
          </w:p>
        </w:tc>
        <w:tc>
          <w:tcPr>
            <w:tcW w:type="dxa" w:w="2664"/>
            <w:vAlign w:val="center"/>
          </w:tcPr>
          <w:p>
            <w:pPr>
              <w:spacing w:after="0" w:before="0"/>
            </w:pPr>
            <w:r>
              <w:rPr>
                <w:rFonts w:ascii="Arial" w:hAnsi="Arial"/>
              </w:rPr>
            </w:r>
            <w:r>
              <w:rPr>
                <w:rFonts w:ascii="Arial" w:hAnsi="Arial"/>
                <w:b w:val="0"/>
                <w:sz w:val="16"/>
              </w:rPr>
              <w:t>Angle innovation, IA, risques opérationnels et transformation transverse.</w:t>
            </w:r>
          </w:p>
        </w:tc>
      </w:tr>
    </w:tbl>
    <w:p>
      <w:pPr>
        <w:pStyle w:val="Heading1"/>
      </w:pPr>
      <w:r>
        <w:t>4. Contacts prioritaires à travailler</w:t>
      </w:r>
    </w:p>
    <w:tbl>
      <w:tblPr>
        <w:tblStyle w:val="TableGrid"/>
        <w:tblW w:type="auto" w:w="0"/>
        <w:jc w:val="center"/>
        <w:tblLook w:firstColumn="1" w:firstRow="1" w:lastColumn="0" w:lastRow="0" w:noHBand="0" w:noVBand="1" w:val="04A0"/>
      </w:tblPr>
      <w:tblGrid>
        <w:gridCol w:w="2131"/>
        <w:gridCol w:w="2131"/>
        <w:gridCol w:w="2131"/>
        <w:gridCol w:w="2131"/>
        <w:gridCol w:w="2131"/>
      </w:tblGrid>
      <w:tr>
        <w:trPr>
          <w:tblHeader w:val="true"/>
        </w:trPr>
        <w:tc>
          <w:tcPr>
            <w:tcW w:type="dxa" w:w="2131"/>
            <w:vAlign w:val="center"/>
            <w:shd w:fill="6F2082"/>
          </w:tcPr>
          <w:p>
            <w:pPr>
              <w:spacing w:after="0" w:before="0"/>
            </w:pPr>
            <w:r>
              <w:rPr>
                <w:rFonts w:ascii="Arial" w:hAnsi="Arial"/>
              </w:rPr>
            </w:r>
            <w:r>
              <w:rPr>
                <w:rFonts w:ascii="Arial" w:hAnsi="Arial"/>
                <w:b/>
                <w:color w:val="FFFFFF"/>
                <w:sz w:val="14"/>
              </w:rPr>
              <w:t>Priorité</w:t>
            </w:r>
          </w:p>
        </w:tc>
        <w:tc>
          <w:tcPr>
            <w:tcW w:type="dxa" w:w="2131"/>
            <w:vAlign w:val="center"/>
            <w:shd w:fill="6F2082"/>
          </w:tcPr>
          <w:p>
            <w:pPr>
              <w:spacing w:after="0" w:before="0"/>
            </w:pPr>
            <w:r>
              <w:rPr>
                <w:rFonts w:ascii="Arial" w:hAnsi="Arial"/>
              </w:rPr>
            </w:r>
            <w:r>
              <w:rPr>
                <w:rFonts w:ascii="Arial" w:hAnsi="Arial"/>
                <w:b/>
                <w:color w:val="FFFFFF"/>
                <w:sz w:val="14"/>
              </w:rPr>
              <w:t>Contact</w:t>
            </w:r>
          </w:p>
        </w:tc>
        <w:tc>
          <w:tcPr>
            <w:tcW w:type="dxa" w:w="2131"/>
            <w:vAlign w:val="center"/>
            <w:shd w:fill="6F2082"/>
          </w:tcPr>
          <w:p>
            <w:pPr>
              <w:spacing w:after="0" w:before="0"/>
            </w:pPr>
            <w:r>
              <w:rPr>
                <w:rFonts w:ascii="Arial" w:hAnsi="Arial"/>
              </w:rPr>
            </w:r>
            <w:r>
              <w:rPr>
                <w:rFonts w:ascii="Arial" w:hAnsi="Arial"/>
                <w:b/>
                <w:color w:val="FFFFFF"/>
                <w:sz w:val="14"/>
              </w:rPr>
              <w:t>Entité</w:t>
            </w:r>
          </w:p>
        </w:tc>
        <w:tc>
          <w:tcPr>
            <w:tcW w:type="dxa" w:w="2131"/>
            <w:vAlign w:val="center"/>
            <w:shd w:fill="6F2082"/>
          </w:tcPr>
          <w:p>
            <w:pPr>
              <w:spacing w:after="0" w:before="0"/>
            </w:pPr>
            <w:r>
              <w:rPr>
                <w:rFonts w:ascii="Arial" w:hAnsi="Arial"/>
              </w:rPr>
            </w:r>
            <w:r>
              <w:rPr>
                <w:rFonts w:ascii="Arial" w:hAnsi="Arial"/>
                <w:b/>
                <w:color w:val="FFFFFF"/>
                <w:sz w:val="14"/>
              </w:rPr>
              <w:t>Fonction</w:t>
            </w:r>
          </w:p>
        </w:tc>
        <w:tc>
          <w:tcPr>
            <w:tcW w:type="dxa" w:w="2131"/>
            <w:vAlign w:val="center"/>
            <w:shd w:fill="6F2082"/>
          </w:tcPr>
          <w:p>
            <w:pPr>
              <w:spacing w:after="0" w:before="0"/>
            </w:pPr>
            <w:r>
              <w:rPr>
                <w:rFonts w:ascii="Arial" w:hAnsi="Arial"/>
              </w:rPr>
            </w:r>
            <w:r>
              <w:rPr>
                <w:rFonts w:ascii="Arial" w:hAnsi="Arial"/>
                <w:b/>
                <w:color w:val="FFFFFF"/>
                <w:sz w:val="14"/>
              </w:rPr>
              <w:t>Angle de contact</w:t>
            </w:r>
          </w:p>
        </w:tc>
      </w:tr>
      <w:tr>
        <w:tc>
          <w:tcPr>
            <w:tcW w:type="dxa" w:w="2131"/>
            <w:vAlign w:val="center"/>
          </w:tcPr>
          <w:p>
            <w:pPr>
              <w:spacing w:after="0" w:before="0"/>
            </w:pPr>
            <w:r>
              <w:rPr>
                <w:rFonts w:ascii="Arial" w:hAnsi="Arial"/>
              </w:rPr>
            </w:r>
            <w:r>
              <w:rPr>
                <w:rFonts w:ascii="Arial" w:hAnsi="Arial"/>
                <w:b w:val="0"/>
                <w:sz w:val="14"/>
              </w:rPr>
              <w:t>P1</w:t>
            </w:r>
          </w:p>
        </w:tc>
        <w:tc>
          <w:tcPr>
            <w:tcW w:type="dxa" w:w="2131"/>
            <w:vAlign w:val="center"/>
          </w:tcPr>
          <w:p>
            <w:pPr>
              <w:spacing w:after="0" w:before="0"/>
            </w:pPr>
            <w:r>
              <w:rPr>
                <w:rFonts w:ascii="Arial" w:hAnsi="Arial"/>
              </w:rPr>
            </w:r>
            <w:r>
              <w:rPr>
                <w:rFonts w:ascii="Arial" w:hAnsi="Arial"/>
                <w:b w:val="0"/>
                <w:sz w:val="14"/>
              </w:rPr>
              <w:t>Pascal MARTINEZ</w:t>
            </w:r>
          </w:p>
        </w:tc>
        <w:tc>
          <w:tcPr>
            <w:tcW w:type="dxa" w:w="2131"/>
            <w:vAlign w:val="center"/>
          </w:tcPr>
          <w:p>
            <w:pPr>
              <w:spacing w:after="0" w:before="0"/>
            </w:pPr>
            <w:r>
              <w:rPr>
                <w:rFonts w:ascii="Arial" w:hAnsi="Arial"/>
              </w:rPr>
            </w:r>
            <w:r>
              <w:rPr>
                <w:rFonts w:ascii="Arial" w:hAnsi="Arial"/>
                <w:b w:val="0"/>
                <w:sz w:val="14"/>
              </w:rPr>
              <w:t>Direction SI et Digital / COMEX</w:t>
            </w:r>
          </w:p>
        </w:tc>
        <w:tc>
          <w:tcPr>
            <w:tcW w:type="dxa" w:w="2131"/>
            <w:vAlign w:val="center"/>
          </w:tcPr>
          <w:p>
            <w:pPr>
              <w:spacing w:after="0" w:before="0"/>
            </w:pPr>
            <w:r>
              <w:rPr>
                <w:rFonts w:ascii="Arial" w:hAnsi="Arial"/>
              </w:rPr>
            </w:r>
            <w:r>
              <w:rPr>
                <w:rFonts w:ascii="Arial" w:hAnsi="Arial"/>
                <w:b w:val="0"/>
                <w:sz w:val="14"/>
              </w:rPr>
              <w:t>Décideur SI &amp; digital</w:t>
            </w:r>
          </w:p>
        </w:tc>
        <w:tc>
          <w:tcPr>
            <w:tcW w:type="dxa" w:w="2131"/>
            <w:vAlign w:val="center"/>
          </w:tcPr>
          <w:p>
            <w:pPr>
              <w:spacing w:after="0" w:before="0"/>
            </w:pPr>
            <w:r>
              <w:rPr>
                <w:rFonts w:ascii="Arial" w:hAnsi="Arial"/>
              </w:rPr>
            </w:r>
            <w:r>
              <w:rPr>
                <w:rFonts w:ascii="Arial" w:hAnsi="Arial"/>
                <w:b w:val="0"/>
                <w:sz w:val="14"/>
              </w:rPr>
              <w:t>Approche top-down sur transformation SI, digital, data, IA et sécurisation des prestations.</w:t>
            </w:r>
          </w:p>
        </w:tc>
      </w:tr>
      <w:tr>
        <w:tc>
          <w:tcPr>
            <w:tcW w:type="dxa" w:w="2131"/>
            <w:vAlign w:val="center"/>
          </w:tcPr>
          <w:p>
            <w:pPr>
              <w:spacing w:after="0" w:before="0"/>
            </w:pPr>
            <w:r>
              <w:rPr>
                <w:rFonts w:ascii="Arial" w:hAnsi="Arial"/>
              </w:rPr>
            </w:r>
            <w:r>
              <w:rPr>
                <w:rFonts w:ascii="Arial" w:hAnsi="Arial"/>
                <w:b w:val="0"/>
                <w:sz w:val="14"/>
              </w:rPr>
              <w:t>P1</w:t>
            </w:r>
          </w:p>
        </w:tc>
        <w:tc>
          <w:tcPr>
            <w:tcW w:type="dxa" w:w="2131"/>
            <w:vAlign w:val="center"/>
          </w:tcPr>
          <w:p>
            <w:pPr>
              <w:spacing w:after="0" w:before="0"/>
            </w:pPr>
            <w:r>
              <w:rPr>
                <w:rFonts w:ascii="Arial" w:hAnsi="Arial"/>
              </w:rPr>
            </w:r>
            <w:r>
              <w:rPr>
                <w:rFonts w:ascii="Arial" w:hAnsi="Arial"/>
                <w:b w:val="0"/>
                <w:sz w:val="14"/>
              </w:rPr>
              <w:t>Stéphane LAPIERRE</w:t>
            </w:r>
          </w:p>
        </w:tc>
        <w:tc>
          <w:tcPr>
            <w:tcW w:type="dxa" w:w="2131"/>
            <w:vAlign w:val="center"/>
          </w:tcPr>
          <w:p>
            <w:pPr>
              <w:spacing w:after="0" w:before="0"/>
            </w:pPr>
            <w:r>
              <w:rPr>
                <w:rFonts w:ascii="Arial" w:hAnsi="Arial"/>
              </w:rPr>
            </w:r>
            <w:r>
              <w:rPr>
                <w:rFonts w:ascii="Arial" w:hAnsi="Arial"/>
                <w:b w:val="0"/>
                <w:sz w:val="14"/>
              </w:rPr>
              <w:t>DSI relation client, digital, data, plateformes</w:t>
            </w:r>
          </w:p>
        </w:tc>
        <w:tc>
          <w:tcPr>
            <w:tcW w:type="dxa" w:w="2131"/>
            <w:vAlign w:val="center"/>
          </w:tcPr>
          <w:p>
            <w:pPr>
              <w:spacing w:after="0" w:before="0"/>
            </w:pPr>
            <w:r>
              <w:rPr>
                <w:rFonts w:ascii="Arial" w:hAnsi="Arial"/>
              </w:rPr>
            </w:r>
            <w:r>
              <w:rPr>
                <w:rFonts w:ascii="Arial" w:hAnsi="Arial"/>
                <w:b w:val="0"/>
                <w:sz w:val="14"/>
              </w:rPr>
              <w:t>Sponsor potentiel relation client / digital / data</w:t>
            </w:r>
          </w:p>
        </w:tc>
        <w:tc>
          <w:tcPr>
            <w:tcW w:type="dxa" w:w="2131"/>
            <w:vAlign w:val="center"/>
          </w:tcPr>
          <w:p>
            <w:pPr>
              <w:spacing w:after="0" w:before="0"/>
            </w:pPr>
            <w:r>
              <w:rPr>
                <w:rFonts w:ascii="Arial" w:hAnsi="Arial"/>
              </w:rPr>
            </w:r>
            <w:r>
              <w:rPr>
                <w:rFonts w:ascii="Arial" w:hAnsi="Arial"/>
                <w:b w:val="0"/>
                <w:sz w:val="14"/>
              </w:rPr>
              <w:t>Angle Salesforce, parcours clients, data, plateformes mutualisées.</w:t>
            </w:r>
          </w:p>
        </w:tc>
      </w:tr>
      <w:tr>
        <w:tc>
          <w:tcPr>
            <w:tcW w:type="dxa" w:w="2131"/>
            <w:vAlign w:val="center"/>
          </w:tcPr>
          <w:p>
            <w:pPr>
              <w:spacing w:after="0" w:before="0"/>
            </w:pPr>
            <w:r>
              <w:rPr>
                <w:rFonts w:ascii="Arial" w:hAnsi="Arial"/>
              </w:rPr>
            </w:r>
            <w:r>
              <w:rPr>
                <w:rFonts w:ascii="Arial" w:hAnsi="Arial"/>
                <w:b w:val="0"/>
                <w:sz w:val="14"/>
              </w:rPr>
              <w:t>P1</w:t>
            </w:r>
          </w:p>
        </w:tc>
        <w:tc>
          <w:tcPr>
            <w:tcW w:type="dxa" w:w="2131"/>
            <w:vAlign w:val="center"/>
          </w:tcPr>
          <w:p>
            <w:pPr>
              <w:spacing w:after="0" w:before="0"/>
            </w:pPr>
            <w:r>
              <w:rPr>
                <w:rFonts w:ascii="Arial" w:hAnsi="Arial"/>
              </w:rPr>
            </w:r>
            <w:r>
              <w:rPr>
                <w:rFonts w:ascii="Arial" w:hAnsi="Arial"/>
                <w:b w:val="0"/>
                <w:sz w:val="14"/>
              </w:rPr>
              <w:t>Pierre-Emmanuel LE PARCO</w:t>
            </w:r>
          </w:p>
        </w:tc>
        <w:tc>
          <w:tcPr>
            <w:tcW w:type="dxa" w:w="2131"/>
            <w:vAlign w:val="center"/>
          </w:tcPr>
          <w:p>
            <w:pPr>
              <w:spacing w:after="0" w:before="0"/>
            </w:pPr>
            <w:r>
              <w:rPr>
                <w:rFonts w:ascii="Arial" w:hAnsi="Arial"/>
              </w:rPr>
            </w:r>
            <w:r>
              <w:rPr>
                <w:rFonts w:ascii="Arial" w:hAnsi="Arial"/>
                <w:b w:val="0"/>
                <w:sz w:val="14"/>
              </w:rPr>
              <w:t>Data &amp; IA</w:t>
            </w:r>
          </w:p>
        </w:tc>
        <w:tc>
          <w:tcPr>
            <w:tcW w:type="dxa" w:w="2131"/>
            <w:vAlign w:val="center"/>
          </w:tcPr>
          <w:p>
            <w:pPr>
              <w:spacing w:after="0" w:before="0"/>
            </w:pPr>
            <w:r>
              <w:rPr>
                <w:rFonts w:ascii="Arial" w:hAnsi="Arial"/>
              </w:rPr>
            </w:r>
            <w:r>
              <w:rPr>
                <w:rFonts w:ascii="Arial" w:hAnsi="Arial"/>
                <w:b w:val="0"/>
                <w:sz w:val="14"/>
              </w:rPr>
              <w:t>Directeur Data &amp; IA</w:t>
            </w:r>
          </w:p>
        </w:tc>
        <w:tc>
          <w:tcPr>
            <w:tcW w:type="dxa" w:w="2131"/>
            <w:vAlign w:val="center"/>
          </w:tcPr>
          <w:p>
            <w:pPr>
              <w:spacing w:after="0" w:before="0"/>
            </w:pPr>
            <w:r>
              <w:rPr>
                <w:rFonts w:ascii="Arial" w:hAnsi="Arial"/>
              </w:rPr>
            </w:r>
            <w:r>
              <w:rPr>
                <w:rFonts w:ascii="Arial" w:hAnsi="Arial"/>
                <w:b w:val="0"/>
                <w:sz w:val="14"/>
              </w:rPr>
              <w:t>Angle IA générative, data engineering, gouvernance data, industrialisation de cas d’usage.</w:t>
            </w:r>
          </w:p>
        </w:tc>
      </w:tr>
      <w:tr>
        <w:tc>
          <w:tcPr>
            <w:tcW w:type="dxa" w:w="2131"/>
            <w:vAlign w:val="center"/>
          </w:tcPr>
          <w:p>
            <w:pPr>
              <w:spacing w:after="0" w:before="0"/>
            </w:pPr>
            <w:r>
              <w:rPr>
                <w:rFonts w:ascii="Arial" w:hAnsi="Arial"/>
              </w:rPr>
            </w:r>
            <w:r>
              <w:rPr>
                <w:rFonts w:ascii="Arial" w:hAnsi="Arial"/>
                <w:b w:val="0"/>
                <w:sz w:val="14"/>
              </w:rPr>
              <w:t>P1</w:t>
            </w:r>
          </w:p>
        </w:tc>
        <w:tc>
          <w:tcPr>
            <w:tcW w:type="dxa" w:w="2131"/>
            <w:vAlign w:val="center"/>
          </w:tcPr>
          <w:p>
            <w:pPr>
              <w:spacing w:after="0" w:before="0"/>
            </w:pPr>
            <w:r>
              <w:rPr>
                <w:rFonts w:ascii="Arial" w:hAnsi="Arial"/>
              </w:rPr>
            </w:r>
            <w:r>
              <w:rPr>
                <w:rFonts w:ascii="Arial" w:hAnsi="Arial"/>
                <w:b w:val="0"/>
                <w:sz w:val="14"/>
              </w:rPr>
              <w:t>Xavier MIGAUD</w:t>
            </w:r>
          </w:p>
        </w:tc>
        <w:tc>
          <w:tcPr>
            <w:tcW w:type="dxa" w:w="2131"/>
            <w:vAlign w:val="center"/>
          </w:tcPr>
          <w:p>
            <w:pPr>
              <w:spacing w:after="0" w:before="0"/>
            </w:pPr>
            <w:r>
              <w:rPr>
                <w:rFonts w:ascii="Arial" w:hAnsi="Arial"/>
              </w:rPr>
            </w:r>
            <w:r>
              <w:rPr>
                <w:rFonts w:ascii="Arial" w:hAnsi="Arial"/>
                <w:b w:val="0"/>
                <w:sz w:val="14"/>
              </w:rPr>
              <w:t>Cyber sécurité</w:t>
            </w:r>
          </w:p>
        </w:tc>
        <w:tc>
          <w:tcPr>
            <w:tcW w:type="dxa" w:w="2131"/>
            <w:vAlign w:val="center"/>
          </w:tcPr>
          <w:p>
            <w:pPr>
              <w:spacing w:after="0" w:before="0"/>
            </w:pPr>
            <w:r>
              <w:rPr>
                <w:rFonts w:ascii="Arial" w:hAnsi="Arial"/>
              </w:rPr>
            </w:r>
            <w:r>
              <w:rPr>
                <w:rFonts w:ascii="Arial" w:hAnsi="Arial"/>
                <w:b w:val="0"/>
                <w:sz w:val="14"/>
              </w:rPr>
              <w:t>RSSI Groupe / directeur cyber</w:t>
            </w:r>
          </w:p>
        </w:tc>
        <w:tc>
          <w:tcPr>
            <w:tcW w:type="dxa" w:w="2131"/>
            <w:vAlign w:val="center"/>
          </w:tcPr>
          <w:p>
            <w:pPr>
              <w:spacing w:after="0" w:before="0"/>
            </w:pPr>
            <w:r>
              <w:rPr>
                <w:rFonts w:ascii="Arial" w:hAnsi="Arial"/>
              </w:rPr>
            </w:r>
            <w:r>
              <w:rPr>
                <w:rFonts w:ascii="Arial" w:hAnsi="Arial"/>
                <w:b w:val="0"/>
                <w:sz w:val="14"/>
              </w:rPr>
              <w:t>Angle DORA, NIS2, IAM, GRC, SOC, audit cyber, sécurité cloud.</w:t>
            </w:r>
          </w:p>
        </w:tc>
      </w:tr>
      <w:tr>
        <w:tc>
          <w:tcPr>
            <w:tcW w:type="dxa" w:w="2131"/>
            <w:vAlign w:val="center"/>
          </w:tcPr>
          <w:p>
            <w:pPr>
              <w:spacing w:after="0" w:before="0"/>
            </w:pPr>
            <w:r>
              <w:rPr>
                <w:rFonts w:ascii="Arial" w:hAnsi="Arial"/>
              </w:rPr>
            </w:r>
            <w:r>
              <w:rPr>
                <w:rFonts w:ascii="Arial" w:hAnsi="Arial"/>
                <w:b w:val="0"/>
                <w:sz w:val="14"/>
              </w:rPr>
              <w:t>P1</w:t>
            </w:r>
          </w:p>
        </w:tc>
        <w:tc>
          <w:tcPr>
            <w:tcW w:type="dxa" w:w="2131"/>
            <w:vAlign w:val="center"/>
          </w:tcPr>
          <w:p>
            <w:pPr>
              <w:spacing w:after="0" w:before="0"/>
            </w:pPr>
            <w:r>
              <w:rPr>
                <w:rFonts w:ascii="Arial" w:hAnsi="Arial"/>
              </w:rPr>
            </w:r>
            <w:r>
              <w:rPr>
                <w:rFonts w:ascii="Arial" w:hAnsi="Arial"/>
                <w:b w:val="0"/>
                <w:sz w:val="14"/>
              </w:rPr>
              <w:t>Axel BOUCHERY</w:t>
            </w:r>
          </w:p>
        </w:tc>
        <w:tc>
          <w:tcPr>
            <w:tcW w:type="dxa" w:w="2131"/>
            <w:vAlign w:val="center"/>
          </w:tcPr>
          <w:p>
            <w:pPr>
              <w:spacing w:after="0" w:before="0"/>
            </w:pPr>
            <w:r>
              <w:rPr>
                <w:rFonts w:ascii="Arial" w:hAnsi="Arial"/>
              </w:rPr>
            </w:r>
            <w:r>
              <w:rPr>
                <w:rFonts w:ascii="Arial" w:hAnsi="Arial"/>
                <w:b w:val="0"/>
                <w:sz w:val="14"/>
              </w:rPr>
              <w:t>Cyber sécurité</w:t>
            </w:r>
          </w:p>
        </w:tc>
        <w:tc>
          <w:tcPr>
            <w:tcW w:type="dxa" w:w="2131"/>
            <w:vAlign w:val="center"/>
          </w:tcPr>
          <w:p>
            <w:pPr>
              <w:spacing w:after="0" w:before="0"/>
            </w:pPr>
            <w:r>
              <w:rPr>
                <w:rFonts w:ascii="Arial" w:hAnsi="Arial"/>
              </w:rPr>
            </w:r>
            <w:r>
              <w:rPr>
                <w:rFonts w:ascii="Arial" w:hAnsi="Arial"/>
                <w:b w:val="0"/>
                <w:sz w:val="14"/>
              </w:rPr>
              <w:t>Adjoint RSSI / Deputy Group CISO</w:t>
            </w:r>
          </w:p>
        </w:tc>
        <w:tc>
          <w:tcPr>
            <w:tcW w:type="dxa" w:w="2131"/>
            <w:vAlign w:val="center"/>
          </w:tcPr>
          <w:p>
            <w:pPr>
              <w:spacing w:after="0" w:before="0"/>
            </w:pPr>
            <w:r>
              <w:rPr>
                <w:rFonts w:ascii="Arial" w:hAnsi="Arial"/>
              </w:rPr>
            </w:r>
            <w:r>
              <w:rPr>
                <w:rFonts w:ascii="Arial" w:hAnsi="Arial"/>
                <w:b w:val="0"/>
                <w:sz w:val="14"/>
              </w:rPr>
              <w:t>Approche opérationnelle cyber, renforts GRC et sécurité technique.</w:t>
            </w:r>
          </w:p>
        </w:tc>
      </w:tr>
      <w:tr>
        <w:tc>
          <w:tcPr>
            <w:tcW w:type="dxa" w:w="2131"/>
            <w:vAlign w:val="center"/>
          </w:tcPr>
          <w:p>
            <w:pPr>
              <w:spacing w:after="0" w:before="0"/>
            </w:pPr>
            <w:r>
              <w:rPr>
                <w:rFonts w:ascii="Arial" w:hAnsi="Arial"/>
              </w:rPr>
            </w:r>
            <w:r>
              <w:rPr>
                <w:rFonts w:ascii="Arial" w:hAnsi="Arial"/>
                <w:b w:val="0"/>
                <w:sz w:val="14"/>
              </w:rPr>
              <w:t>P1</w:t>
            </w:r>
          </w:p>
        </w:tc>
        <w:tc>
          <w:tcPr>
            <w:tcW w:type="dxa" w:w="2131"/>
            <w:vAlign w:val="center"/>
          </w:tcPr>
          <w:p>
            <w:pPr>
              <w:spacing w:after="0" w:before="0"/>
            </w:pPr>
            <w:r>
              <w:rPr>
                <w:rFonts w:ascii="Arial" w:hAnsi="Arial"/>
              </w:rPr>
            </w:r>
            <w:r>
              <w:rPr>
                <w:rFonts w:ascii="Arial" w:hAnsi="Arial"/>
                <w:b w:val="0"/>
                <w:sz w:val="14"/>
              </w:rPr>
              <w:t>Stéphane LAMBERT</w:t>
            </w:r>
          </w:p>
        </w:tc>
        <w:tc>
          <w:tcPr>
            <w:tcW w:type="dxa" w:w="2131"/>
            <w:vAlign w:val="center"/>
          </w:tcPr>
          <w:p>
            <w:pPr>
              <w:spacing w:after="0" w:before="0"/>
            </w:pPr>
            <w:r>
              <w:rPr>
                <w:rFonts w:ascii="Arial" w:hAnsi="Arial"/>
              </w:rPr>
            </w:r>
            <w:r>
              <w:rPr>
                <w:rFonts w:ascii="Arial" w:hAnsi="Arial"/>
                <w:b w:val="0"/>
                <w:sz w:val="14"/>
              </w:rPr>
              <w:t>Opérations et sécurité</w:t>
            </w:r>
          </w:p>
        </w:tc>
        <w:tc>
          <w:tcPr>
            <w:tcW w:type="dxa" w:w="2131"/>
            <w:vAlign w:val="center"/>
          </w:tcPr>
          <w:p>
            <w:pPr>
              <w:spacing w:after="0" w:before="0"/>
            </w:pPr>
            <w:r>
              <w:rPr>
                <w:rFonts w:ascii="Arial" w:hAnsi="Arial"/>
              </w:rPr>
            </w:r>
            <w:r>
              <w:rPr>
                <w:rFonts w:ascii="Arial" w:hAnsi="Arial"/>
                <w:b w:val="0"/>
                <w:sz w:val="14"/>
              </w:rPr>
              <w:t>Directeur opérations et sécurité</w:t>
            </w:r>
          </w:p>
        </w:tc>
        <w:tc>
          <w:tcPr>
            <w:tcW w:type="dxa" w:w="2131"/>
            <w:vAlign w:val="center"/>
          </w:tcPr>
          <w:p>
            <w:pPr>
              <w:spacing w:after="0" w:before="0"/>
            </w:pPr>
            <w:r>
              <w:rPr>
                <w:rFonts w:ascii="Arial" w:hAnsi="Arial"/>
              </w:rPr>
            </w:r>
            <w:r>
              <w:rPr>
                <w:rFonts w:ascii="Arial" w:hAnsi="Arial"/>
                <w:b w:val="0"/>
                <w:sz w:val="14"/>
              </w:rPr>
              <w:t>Angle production, MCO/MCS, exploitation, sécurisation des environnements.</w:t>
            </w:r>
          </w:p>
        </w:tc>
      </w:tr>
      <w:tr>
        <w:tc>
          <w:tcPr>
            <w:tcW w:type="dxa" w:w="2131"/>
            <w:vAlign w:val="center"/>
          </w:tcPr>
          <w:p>
            <w:pPr>
              <w:spacing w:after="0" w:before="0"/>
            </w:pPr>
            <w:r>
              <w:rPr>
                <w:rFonts w:ascii="Arial" w:hAnsi="Arial"/>
              </w:rPr>
            </w:r>
            <w:r>
              <w:rPr>
                <w:rFonts w:ascii="Arial" w:hAnsi="Arial"/>
                <w:b w:val="0"/>
                <w:sz w:val="14"/>
              </w:rPr>
              <w:t>P1</w:t>
            </w:r>
          </w:p>
        </w:tc>
        <w:tc>
          <w:tcPr>
            <w:tcW w:type="dxa" w:w="2131"/>
            <w:vAlign w:val="center"/>
          </w:tcPr>
          <w:p>
            <w:pPr>
              <w:spacing w:after="0" w:before="0"/>
            </w:pPr>
            <w:r>
              <w:rPr>
                <w:rFonts w:ascii="Arial" w:hAnsi="Arial"/>
              </w:rPr>
            </w:r>
            <w:r>
              <w:rPr>
                <w:rFonts w:ascii="Arial" w:hAnsi="Arial"/>
                <w:b w:val="0"/>
                <w:sz w:val="14"/>
              </w:rPr>
              <w:t>Yann TANIEL</w:t>
            </w:r>
          </w:p>
        </w:tc>
        <w:tc>
          <w:tcPr>
            <w:tcW w:type="dxa" w:w="2131"/>
            <w:vAlign w:val="center"/>
          </w:tcPr>
          <w:p>
            <w:pPr>
              <w:spacing w:after="0" w:before="0"/>
            </w:pPr>
            <w:r>
              <w:rPr>
                <w:rFonts w:ascii="Arial" w:hAnsi="Arial"/>
              </w:rPr>
            </w:r>
            <w:r>
              <w:rPr>
                <w:rFonts w:ascii="Arial" w:hAnsi="Arial"/>
                <w:b w:val="0"/>
                <w:sz w:val="14"/>
              </w:rPr>
              <w:t>Pilotage fournisseurs / SAM</w:t>
            </w:r>
          </w:p>
        </w:tc>
        <w:tc>
          <w:tcPr>
            <w:tcW w:type="dxa" w:w="2131"/>
            <w:vAlign w:val="center"/>
          </w:tcPr>
          <w:p>
            <w:pPr>
              <w:spacing w:after="0" w:before="0"/>
            </w:pPr>
            <w:r>
              <w:rPr>
                <w:rFonts w:ascii="Arial" w:hAnsi="Arial"/>
              </w:rPr>
            </w:r>
            <w:r>
              <w:rPr>
                <w:rFonts w:ascii="Arial" w:hAnsi="Arial"/>
                <w:b w:val="0"/>
                <w:sz w:val="14"/>
              </w:rPr>
              <w:t>Responsable pilotage fournisseurs &amp; SAM</w:t>
            </w:r>
          </w:p>
        </w:tc>
        <w:tc>
          <w:tcPr>
            <w:tcW w:type="dxa" w:w="2131"/>
            <w:vAlign w:val="center"/>
          </w:tcPr>
          <w:p>
            <w:pPr>
              <w:spacing w:after="0" w:before="0"/>
            </w:pPr>
            <w:r>
              <w:rPr>
                <w:rFonts w:ascii="Arial" w:hAnsi="Arial"/>
              </w:rPr>
            </w:r>
            <w:r>
              <w:rPr>
                <w:rFonts w:ascii="Arial" w:hAnsi="Arial"/>
                <w:b w:val="0"/>
                <w:sz w:val="14"/>
              </w:rPr>
              <w:t>Angle rationalisation fournisseurs IT, licences, pilotage coûts et contrats.</w:t>
            </w:r>
          </w:p>
        </w:tc>
      </w:tr>
      <w:tr>
        <w:tc>
          <w:tcPr>
            <w:tcW w:type="dxa" w:w="2131"/>
            <w:vAlign w:val="center"/>
          </w:tcPr>
          <w:p>
            <w:pPr>
              <w:spacing w:after="0" w:before="0"/>
            </w:pPr>
            <w:r>
              <w:rPr>
                <w:rFonts w:ascii="Arial" w:hAnsi="Arial"/>
              </w:rPr>
            </w:r>
            <w:r>
              <w:rPr>
                <w:rFonts w:ascii="Arial" w:hAnsi="Arial"/>
                <w:b w:val="0"/>
                <w:sz w:val="14"/>
              </w:rPr>
              <w:t>P1</w:t>
            </w:r>
          </w:p>
        </w:tc>
        <w:tc>
          <w:tcPr>
            <w:tcW w:type="dxa" w:w="2131"/>
            <w:vAlign w:val="center"/>
          </w:tcPr>
          <w:p>
            <w:pPr>
              <w:spacing w:after="0" w:before="0"/>
            </w:pPr>
            <w:r>
              <w:rPr>
                <w:rFonts w:ascii="Arial" w:hAnsi="Arial"/>
              </w:rPr>
            </w:r>
            <w:r>
              <w:rPr>
                <w:rFonts w:ascii="Arial" w:hAnsi="Arial"/>
                <w:b w:val="0"/>
                <w:sz w:val="14"/>
              </w:rPr>
              <w:t>William LÉGER</w:t>
            </w:r>
          </w:p>
        </w:tc>
        <w:tc>
          <w:tcPr>
            <w:tcW w:type="dxa" w:w="2131"/>
            <w:vAlign w:val="center"/>
          </w:tcPr>
          <w:p>
            <w:pPr>
              <w:spacing w:after="0" w:before="0"/>
            </w:pPr>
            <w:r>
              <w:rPr>
                <w:rFonts w:ascii="Arial" w:hAnsi="Arial"/>
              </w:rPr>
            </w:r>
            <w:r>
              <w:rPr>
                <w:rFonts w:ascii="Arial" w:hAnsi="Arial"/>
                <w:b w:val="0"/>
                <w:sz w:val="14"/>
              </w:rPr>
              <w:t>DevOps / shared services</w:t>
            </w:r>
          </w:p>
        </w:tc>
        <w:tc>
          <w:tcPr>
            <w:tcW w:type="dxa" w:w="2131"/>
            <w:vAlign w:val="center"/>
          </w:tcPr>
          <w:p>
            <w:pPr>
              <w:spacing w:after="0" w:before="0"/>
            </w:pPr>
            <w:r>
              <w:rPr>
                <w:rFonts w:ascii="Arial" w:hAnsi="Arial"/>
              </w:rPr>
            </w:r>
            <w:r>
              <w:rPr>
                <w:rFonts w:ascii="Arial" w:hAnsi="Arial"/>
                <w:b w:val="0"/>
                <w:sz w:val="14"/>
              </w:rPr>
              <w:t>Manager IT / DevOps Shared Services</w:t>
            </w:r>
          </w:p>
        </w:tc>
        <w:tc>
          <w:tcPr>
            <w:tcW w:type="dxa" w:w="2131"/>
            <w:vAlign w:val="center"/>
          </w:tcPr>
          <w:p>
            <w:pPr>
              <w:spacing w:after="0" w:before="0"/>
            </w:pPr>
            <w:r>
              <w:rPr>
                <w:rFonts w:ascii="Arial" w:hAnsi="Arial"/>
              </w:rPr>
            </w:r>
            <w:r>
              <w:rPr>
                <w:rFonts w:ascii="Arial" w:hAnsi="Arial"/>
                <w:b w:val="0"/>
                <w:sz w:val="14"/>
              </w:rPr>
              <w:t>Angle DevOps, industrialisation, plateformes techniques, CI/CD.</w:t>
            </w:r>
          </w:p>
        </w:tc>
      </w:tr>
      <w:tr>
        <w:tc>
          <w:tcPr>
            <w:tcW w:type="dxa" w:w="2131"/>
            <w:vAlign w:val="center"/>
          </w:tcPr>
          <w:p>
            <w:pPr>
              <w:spacing w:after="0" w:before="0"/>
            </w:pPr>
            <w:r>
              <w:rPr>
                <w:rFonts w:ascii="Arial" w:hAnsi="Arial"/>
              </w:rPr>
            </w:r>
            <w:r>
              <w:rPr>
                <w:rFonts w:ascii="Arial" w:hAnsi="Arial"/>
                <w:b w:val="0"/>
                <w:sz w:val="14"/>
              </w:rPr>
              <w:t>P1</w:t>
            </w:r>
          </w:p>
        </w:tc>
        <w:tc>
          <w:tcPr>
            <w:tcW w:type="dxa" w:w="2131"/>
            <w:vAlign w:val="center"/>
          </w:tcPr>
          <w:p>
            <w:pPr>
              <w:spacing w:after="0" w:before="0"/>
            </w:pPr>
            <w:r>
              <w:rPr>
                <w:rFonts w:ascii="Arial" w:hAnsi="Arial"/>
              </w:rPr>
            </w:r>
            <w:r>
              <w:rPr>
                <w:rFonts w:ascii="Arial" w:hAnsi="Arial"/>
                <w:b w:val="0"/>
                <w:sz w:val="14"/>
              </w:rPr>
              <w:t>Marjorie de JAEGHERE</w:t>
            </w:r>
          </w:p>
        </w:tc>
        <w:tc>
          <w:tcPr>
            <w:tcW w:type="dxa" w:w="2131"/>
            <w:vAlign w:val="center"/>
          </w:tcPr>
          <w:p>
            <w:pPr>
              <w:spacing w:after="0" w:before="0"/>
            </w:pPr>
            <w:r>
              <w:rPr>
                <w:rFonts w:ascii="Arial" w:hAnsi="Arial"/>
              </w:rPr>
            </w:r>
            <w:r>
              <w:rPr>
                <w:rFonts w:ascii="Arial" w:hAnsi="Arial"/>
                <w:b w:val="0"/>
                <w:sz w:val="14"/>
              </w:rPr>
              <w:t>Stratégie, transformation, innovation, risques opérationnels</w:t>
            </w:r>
          </w:p>
        </w:tc>
        <w:tc>
          <w:tcPr>
            <w:tcW w:type="dxa" w:w="2131"/>
            <w:vAlign w:val="center"/>
          </w:tcPr>
          <w:p>
            <w:pPr>
              <w:spacing w:after="0" w:before="0"/>
            </w:pPr>
            <w:r>
              <w:rPr>
                <w:rFonts w:ascii="Arial" w:hAnsi="Arial"/>
              </w:rPr>
            </w:r>
            <w:r>
              <w:rPr>
                <w:rFonts w:ascii="Arial" w:hAnsi="Arial"/>
                <w:b w:val="0"/>
                <w:sz w:val="14"/>
              </w:rPr>
              <w:t>Membre COMEX</w:t>
            </w:r>
          </w:p>
        </w:tc>
        <w:tc>
          <w:tcPr>
            <w:tcW w:type="dxa" w:w="2131"/>
            <w:vAlign w:val="center"/>
          </w:tcPr>
          <w:p>
            <w:pPr>
              <w:spacing w:after="0" w:before="0"/>
            </w:pPr>
            <w:r>
              <w:rPr>
                <w:rFonts w:ascii="Arial" w:hAnsi="Arial"/>
              </w:rPr>
            </w:r>
            <w:r>
              <w:rPr>
                <w:rFonts w:ascii="Arial" w:hAnsi="Arial"/>
                <w:b w:val="0"/>
                <w:sz w:val="14"/>
              </w:rPr>
              <w:t>Angle transformation, innovation, IA, risques opérationnels.</w:t>
            </w:r>
          </w:p>
        </w:tc>
      </w:tr>
      <w:tr>
        <w:tc>
          <w:tcPr>
            <w:tcW w:type="dxa" w:w="2131"/>
            <w:vAlign w:val="center"/>
          </w:tcPr>
          <w:p>
            <w:pPr>
              <w:spacing w:after="0" w:before="0"/>
            </w:pPr>
            <w:r>
              <w:rPr>
                <w:rFonts w:ascii="Arial" w:hAnsi="Arial"/>
              </w:rPr>
            </w:r>
            <w:r>
              <w:rPr>
                <w:rFonts w:ascii="Arial" w:hAnsi="Arial"/>
                <w:b w:val="0"/>
                <w:sz w:val="14"/>
              </w:rPr>
              <w:t>P1</w:t>
            </w:r>
          </w:p>
        </w:tc>
        <w:tc>
          <w:tcPr>
            <w:tcW w:type="dxa" w:w="2131"/>
            <w:vAlign w:val="center"/>
          </w:tcPr>
          <w:p>
            <w:pPr>
              <w:spacing w:after="0" w:before="0"/>
            </w:pPr>
            <w:r>
              <w:rPr>
                <w:rFonts w:ascii="Arial" w:hAnsi="Arial"/>
              </w:rPr>
            </w:r>
            <w:r>
              <w:rPr>
                <w:rFonts w:ascii="Arial" w:hAnsi="Arial"/>
                <w:b w:val="0"/>
                <w:sz w:val="14"/>
              </w:rPr>
              <w:t>François RINGAUD</w:t>
            </w:r>
          </w:p>
        </w:tc>
        <w:tc>
          <w:tcPr>
            <w:tcW w:type="dxa" w:w="2131"/>
            <w:vAlign w:val="center"/>
          </w:tcPr>
          <w:p>
            <w:pPr>
              <w:spacing w:after="0" w:before="0"/>
            </w:pPr>
            <w:r>
              <w:rPr>
                <w:rFonts w:ascii="Arial" w:hAnsi="Arial"/>
              </w:rPr>
            </w:r>
            <w:r>
              <w:rPr>
                <w:rFonts w:ascii="Arial" w:hAnsi="Arial"/>
                <w:b w:val="0"/>
                <w:sz w:val="14"/>
              </w:rPr>
              <w:t>Retraite complémentaire / action sociale</w:t>
            </w:r>
          </w:p>
        </w:tc>
        <w:tc>
          <w:tcPr>
            <w:tcW w:type="dxa" w:w="2131"/>
            <w:vAlign w:val="center"/>
          </w:tcPr>
          <w:p>
            <w:pPr>
              <w:spacing w:after="0" w:before="0"/>
            </w:pPr>
            <w:r>
              <w:rPr>
                <w:rFonts w:ascii="Arial" w:hAnsi="Arial"/>
              </w:rPr>
            </w:r>
            <w:r>
              <w:rPr>
                <w:rFonts w:ascii="Arial" w:hAnsi="Arial"/>
                <w:b w:val="0"/>
                <w:sz w:val="14"/>
              </w:rPr>
              <w:t>Membre COMEX</w:t>
            </w:r>
          </w:p>
        </w:tc>
        <w:tc>
          <w:tcPr>
            <w:tcW w:type="dxa" w:w="2131"/>
            <w:vAlign w:val="center"/>
          </w:tcPr>
          <w:p>
            <w:pPr>
              <w:spacing w:after="0" w:before="0"/>
            </w:pPr>
            <w:r>
              <w:rPr>
                <w:rFonts w:ascii="Arial" w:hAnsi="Arial"/>
              </w:rPr>
            </w:r>
            <w:r>
              <w:rPr>
                <w:rFonts w:ascii="Arial" w:hAnsi="Arial"/>
                <w:b w:val="0"/>
                <w:sz w:val="14"/>
              </w:rPr>
              <w:t>Angle retraite complémentaire, AMOA, SI retraite, déploiements et recette.</w:t>
            </w:r>
          </w:p>
        </w:tc>
      </w:tr>
      <w:tr>
        <w:tc>
          <w:tcPr>
            <w:tcW w:type="dxa" w:w="2131"/>
            <w:vAlign w:val="center"/>
          </w:tcPr>
          <w:p>
            <w:pPr>
              <w:spacing w:after="0" w:before="0"/>
            </w:pPr>
            <w:r>
              <w:rPr>
                <w:rFonts w:ascii="Arial" w:hAnsi="Arial"/>
              </w:rPr>
            </w:r>
            <w:r>
              <w:rPr>
                <w:rFonts w:ascii="Arial" w:hAnsi="Arial"/>
                <w:b w:val="0"/>
                <w:sz w:val="14"/>
              </w:rPr>
              <w:t>P2</w:t>
            </w:r>
          </w:p>
        </w:tc>
        <w:tc>
          <w:tcPr>
            <w:tcW w:type="dxa" w:w="2131"/>
            <w:vAlign w:val="center"/>
          </w:tcPr>
          <w:p>
            <w:pPr>
              <w:spacing w:after="0" w:before="0"/>
            </w:pPr>
            <w:r>
              <w:rPr>
                <w:rFonts w:ascii="Arial" w:hAnsi="Arial"/>
              </w:rPr>
            </w:r>
            <w:r>
              <w:rPr>
                <w:rFonts w:ascii="Arial" w:hAnsi="Arial"/>
                <w:b w:val="0"/>
                <w:sz w:val="14"/>
              </w:rPr>
              <w:t>Pascale SOYEUX</w:t>
            </w:r>
          </w:p>
        </w:tc>
        <w:tc>
          <w:tcPr>
            <w:tcW w:type="dxa" w:w="2131"/>
            <w:vAlign w:val="center"/>
          </w:tcPr>
          <w:p>
            <w:pPr>
              <w:spacing w:after="0" w:before="0"/>
            </w:pPr>
            <w:r>
              <w:rPr>
                <w:rFonts w:ascii="Arial" w:hAnsi="Arial"/>
              </w:rPr>
            </w:r>
            <w:r>
              <w:rPr>
                <w:rFonts w:ascii="Arial" w:hAnsi="Arial"/>
                <w:b w:val="0"/>
                <w:sz w:val="14"/>
              </w:rPr>
              <w:t>Santé / prévoyance</w:t>
            </w:r>
          </w:p>
        </w:tc>
        <w:tc>
          <w:tcPr>
            <w:tcW w:type="dxa" w:w="2131"/>
            <w:vAlign w:val="center"/>
          </w:tcPr>
          <w:p>
            <w:pPr>
              <w:spacing w:after="0" w:before="0"/>
            </w:pPr>
            <w:r>
              <w:rPr>
                <w:rFonts w:ascii="Arial" w:hAnsi="Arial"/>
              </w:rPr>
            </w:r>
            <w:r>
              <w:rPr>
                <w:rFonts w:ascii="Arial" w:hAnsi="Arial"/>
                <w:b w:val="0"/>
                <w:sz w:val="14"/>
              </w:rPr>
              <w:t>Membre COMEX</w:t>
            </w:r>
          </w:p>
        </w:tc>
        <w:tc>
          <w:tcPr>
            <w:tcW w:type="dxa" w:w="2131"/>
            <w:vAlign w:val="center"/>
          </w:tcPr>
          <w:p>
            <w:pPr>
              <w:spacing w:after="0" w:before="0"/>
            </w:pPr>
            <w:r>
              <w:rPr>
                <w:rFonts w:ascii="Arial" w:hAnsi="Arial"/>
              </w:rPr>
            </w:r>
            <w:r>
              <w:rPr>
                <w:rFonts w:ascii="Arial" w:hAnsi="Arial"/>
                <w:b w:val="0"/>
                <w:sz w:val="14"/>
              </w:rPr>
              <w:t>Angle santé, prévoyance, DSN, back-office, parcours et production métier.</w:t>
            </w:r>
          </w:p>
        </w:tc>
      </w:tr>
      <w:tr>
        <w:tc>
          <w:tcPr>
            <w:tcW w:type="dxa" w:w="2131"/>
            <w:vAlign w:val="center"/>
          </w:tcPr>
          <w:p>
            <w:pPr>
              <w:spacing w:after="0" w:before="0"/>
            </w:pPr>
            <w:r>
              <w:rPr>
                <w:rFonts w:ascii="Arial" w:hAnsi="Arial"/>
              </w:rPr>
            </w:r>
            <w:r>
              <w:rPr>
                <w:rFonts w:ascii="Arial" w:hAnsi="Arial"/>
                <w:b w:val="0"/>
                <w:sz w:val="14"/>
              </w:rPr>
              <w:t>P2</w:t>
            </w:r>
          </w:p>
        </w:tc>
        <w:tc>
          <w:tcPr>
            <w:tcW w:type="dxa" w:w="2131"/>
            <w:vAlign w:val="center"/>
          </w:tcPr>
          <w:p>
            <w:pPr>
              <w:spacing w:after="0" w:before="0"/>
            </w:pPr>
            <w:r>
              <w:rPr>
                <w:rFonts w:ascii="Arial" w:hAnsi="Arial"/>
              </w:rPr>
            </w:r>
            <w:r>
              <w:rPr>
                <w:rFonts w:ascii="Arial" w:hAnsi="Arial"/>
                <w:b w:val="0"/>
                <w:sz w:val="14"/>
              </w:rPr>
              <w:t>Christophe BOURNIT</w:t>
            </w:r>
          </w:p>
        </w:tc>
        <w:tc>
          <w:tcPr>
            <w:tcW w:type="dxa" w:w="2131"/>
            <w:vAlign w:val="center"/>
          </w:tcPr>
          <w:p>
            <w:pPr>
              <w:spacing w:after="0" w:before="0"/>
            </w:pPr>
            <w:r>
              <w:rPr>
                <w:rFonts w:ascii="Arial" w:hAnsi="Arial"/>
              </w:rPr>
            </w:r>
            <w:r>
              <w:rPr>
                <w:rFonts w:ascii="Arial" w:hAnsi="Arial"/>
                <w:b w:val="0"/>
                <w:sz w:val="14"/>
              </w:rPr>
              <w:t>Distribution omnicanale / relation client</w:t>
            </w:r>
          </w:p>
        </w:tc>
        <w:tc>
          <w:tcPr>
            <w:tcW w:type="dxa" w:w="2131"/>
            <w:vAlign w:val="center"/>
          </w:tcPr>
          <w:p>
            <w:pPr>
              <w:spacing w:after="0" w:before="0"/>
            </w:pPr>
            <w:r>
              <w:rPr>
                <w:rFonts w:ascii="Arial" w:hAnsi="Arial"/>
              </w:rPr>
            </w:r>
            <w:r>
              <w:rPr>
                <w:rFonts w:ascii="Arial" w:hAnsi="Arial"/>
                <w:b w:val="0"/>
                <w:sz w:val="14"/>
              </w:rPr>
              <w:t>Membre COMEX</w:t>
            </w:r>
          </w:p>
        </w:tc>
        <w:tc>
          <w:tcPr>
            <w:tcW w:type="dxa" w:w="2131"/>
            <w:vAlign w:val="center"/>
          </w:tcPr>
          <w:p>
            <w:pPr>
              <w:spacing w:after="0" w:before="0"/>
            </w:pPr>
            <w:r>
              <w:rPr>
                <w:rFonts w:ascii="Arial" w:hAnsi="Arial"/>
              </w:rPr>
            </w:r>
            <w:r>
              <w:rPr>
                <w:rFonts w:ascii="Arial" w:hAnsi="Arial"/>
                <w:b w:val="0"/>
                <w:sz w:val="14"/>
              </w:rPr>
              <w:t>Angle relation client, réclamations, omnicanal, transformation des parcours.</w:t>
            </w:r>
          </w:p>
        </w:tc>
      </w:tr>
      <w:tr>
        <w:tc>
          <w:tcPr>
            <w:tcW w:type="dxa" w:w="2131"/>
            <w:vAlign w:val="center"/>
          </w:tcPr>
          <w:p>
            <w:pPr>
              <w:spacing w:after="0" w:before="0"/>
            </w:pPr>
            <w:r>
              <w:rPr>
                <w:rFonts w:ascii="Arial" w:hAnsi="Arial"/>
              </w:rPr>
            </w:r>
            <w:r>
              <w:rPr>
                <w:rFonts w:ascii="Arial" w:hAnsi="Arial"/>
                <w:b w:val="0"/>
                <w:sz w:val="14"/>
              </w:rPr>
              <w:t>P2</w:t>
            </w:r>
          </w:p>
        </w:tc>
        <w:tc>
          <w:tcPr>
            <w:tcW w:type="dxa" w:w="2131"/>
            <w:vAlign w:val="center"/>
          </w:tcPr>
          <w:p>
            <w:pPr>
              <w:spacing w:after="0" w:before="0"/>
            </w:pPr>
            <w:r>
              <w:rPr>
                <w:rFonts w:ascii="Arial" w:hAnsi="Arial"/>
              </w:rPr>
            </w:r>
            <w:r>
              <w:rPr>
                <w:rFonts w:ascii="Arial" w:hAnsi="Arial"/>
                <w:b w:val="0"/>
                <w:sz w:val="14"/>
              </w:rPr>
              <w:t>Alexandrine de VALLOIS</w:t>
            </w:r>
          </w:p>
        </w:tc>
        <w:tc>
          <w:tcPr>
            <w:tcW w:type="dxa" w:w="2131"/>
            <w:vAlign w:val="center"/>
          </w:tcPr>
          <w:p>
            <w:pPr>
              <w:spacing w:after="0" w:before="0"/>
            </w:pPr>
            <w:r>
              <w:rPr>
                <w:rFonts w:ascii="Arial" w:hAnsi="Arial"/>
              </w:rPr>
            </w:r>
            <w:r>
              <w:rPr>
                <w:rFonts w:ascii="Arial" w:hAnsi="Arial"/>
                <w:b w:val="0"/>
                <w:sz w:val="14"/>
              </w:rPr>
              <w:t>Développement et relation client</w:t>
            </w:r>
          </w:p>
        </w:tc>
        <w:tc>
          <w:tcPr>
            <w:tcW w:type="dxa" w:w="2131"/>
            <w:vAlign w:val="center"/>
          </w:tcPr>
          <w:p>
            <w:pPr>
              <w:spacing w:after="0" w:before="0"/>
            </w:pPr>
            <w:r>
              <w:rPr>
                <w:rFonts w:ascii="Arial" w:hAnsi="Arial"/>
              </w:rPr>
            </w:r>
            <w:r>
              <w:rPr>
                <w:rFonts w:ascii="Arial" w:hAnsi="Arial"/>
                <w:b w:val="0"/>
                <w:sz w:val="14"/>
              </w:rPr>
              <w:t>Membre COMEX</w:t>
            </w:r>
          </w:p>
        </w:tc>
        <w:tc>
          <w:tcPr>
            <w:tcW w:type="dxa" w:w="2131"/>
            <w:vAlign w:val="center"/>
          </w:tcPr>
          <w:p>
            <w:pPr>
              <w:spacing w:after="0" w:before="0"/>
            </w:pPr>
            <w:r>
              <w:rPr>
                <w:rFonts w:ascii="Arial" w:hAnsi="Arial"/>
              </w:rPr>
            </w:r>
            <w:r>
              <w:rPr>
                <w:rFonts w:ascii="Arial" w:hAnsi="Arial"/>
                <w:b w:val="0"/>
                <w:sz w:val="14"/>
              </w:rPr>
              <w:t>Angle expérience client, digital, pilotage des canaux.</w:t>
            </w:r>
          </w:p>
        </w:tc>
      </w:tr>
      <w:tr>
        <w:tc>
          <w:tcPr>
            <w:tcW w:type="dxa" w:w="2131"/>
            <w:vAlign w:val="center"/>
          </w:tcPr>
          <w:p>
            <w:pPr>
              <w:spacing w:after="0" w:before="0"/>
            </w:pPr>
            <w:r>
              <w:rPr>
                <w:rFonts w:ascii="Arial" w:hAnsi="Arial"/>
              </w:rPr>
            </w:r>
            <w:r>
              <w:rPr>
                <w:rFonts w:ascii="Arial" w:hAnsi="Arial"/>
                <w:b w:val="0"/>
                <w:sz w:val="14"/>
              </w:rPr>
              <w:t>P2</w:t>
            </w:r>
          </w:p>
        </w:tc>
        <w:tc>
          <w:tcPr>
            <w:tcW w:type="dxa" w:w="2131"/>
            <w:vAlign w:val="center"/>
          </w:tcPr>
          <w:p>
            <w:pPr>
              <w:spacing w:after="0" w:before="0"/>
            </w:pPr>
            <w:r>
              <w:rPr>
                <w:rFonts w:ascii="Arial" w:hAnsi="Arial"/>
              </w:rPr>
            </w:r>
            <w:r>
              <w:rPr>
                <w:rFonts w:ascii="Arial" w:hAnsi="Arial"/>
                <w:b w:val="0"/>
                <w:sz w:val="14"/>
              </w:rPr>
              <w:t>Anne de LA PORTE DU THEIL</w:t>
            </w:r>
          </w:p>
        </w:tc>
        <w:tc>
          <w:tcPr>
            <w:tcW w:type="dxa" w:w="2131"/>
            <w:vAlign w:val="center"/>
          </w:tcPr>
          <w:p>
            <w:pPr>
              <w:spacing w:after="0" w:before="0"/>
            </w:pPr>
            <w:r>
              <w:rPr>
                <w:rFonts w:ascii="Arial" w:hAnsi="Arial"/>
              </w:rPr>
            </w:r>
            <w:r>
              <w:rPr>
                <w:rFonts w:ascii="Arial" w:hAnsi="Arial"/>
                <w:b w:val="0"/>
                <w:sz w:val="14"/>
              </w:rPr>
              <w:t>Juridique, conformité, fiscal, secrétariat général</w:t>
            </w:r>
          </w:p>
        </w:tc>
        <w:tc>
          <w:tcPr>
            <w:tcW w:type="dxa" w:w="2131"/>
            <w:vAlign w:val="center"/>
          </w:tcPr>
          <w:p>
            <w:pPr>
              <w:spacing w:after="0" w:before="0"/>
            </w:pPr>
            <w:r>
              <w:rPr>
                <w:rFonts w:ascii="Arial" w:hAnsi="Arial"/>
              </w:rPr>
            </w:r>
            <w:r>
              <w:rPr>
                <w:rFonts w:ascii="Arial" w:hAnsi="Arial"/>
                <w:b w:val="0"/>
                <w:sz w:val="14"/>
              </w:rPr>
              <w:t>Membre COMEX</w:t>
            </w:r>
          </w:p>
        </w:tc>
        <w:tc>
          <w:tcPr>
            <w:tcW w:type="dxa" w:w="2131"/>
            <w:vAlign w:val="center"/>
          </w:tcPr>
          <w:p>
            <w:pPr>
              <w:spacing w:after="0" w:before="0"/>
            </w:pPr>
            <w:r>
              <w:rPr>
                <w:rFonts w:ascii="Arial" w:hAnsi="Arial"/>
              </w:rPr>
            </w:r>
            <w:r>
              <w:rPr>
                <w:rFonts w:ascii="Arial" w:hAnsi="Arial"/>
                <w:b w:val="0"/>
                <w:sz w:val="14"/>
              </w:rPr>
              <w:t>Angle conformité, DORA, sécurisation contractuelle et risques SI.</w:t>
            </w:r>
          </w:p>
        </w:tc>
      </w:tr>
      <w:tr>
        <w:tc>
          <w:tcPr>
            <w:tcW w:type="dxa" w:w="2131"/>
            <w:vAlign w:val="center"/>
          </w:tcPr>
          <w:p>
            <w:pPr>
              <w:spacing w:after="0" w:before="0"/>
            </w:pPr>
            <w:r>
              <w:rPr>
                <w:rFonts w:ascii="Arial" w:hAnsi="Arial"/>
              </w:rPr>
            </w:r>
            <w:r>
              <w:rPr>
                <w:rFonts w:ascii="Arial" w:hAnsi="Arial"/>
                <w:b w:val="0"/>
                <w:sz w:val="14"/>
              </w:rPr>
              <w:t>P2</w:t>
            </w:r>
          </w:p>
        </w:tc>
        <w:tc>
          <w:tcPr>
            <w:tcW w:type="dxa" w:w="2131"/>
            <w:vAlign w:val="center"/>
          </w:tcPr>
          <w:p>
            <w:pPr>
              <w:spacing w:after="0" w:before="0"/>
            </w:pPr>
            <w:r>
              <w:rPr>
                <w:rFonts w:ascii="Arial" w:hAnsi="Arial"/>
              </w:rPr>
            </w:r>
            <w:r>
              <w:rPr>
                <w:rFonts w:ascii="Arial" w:hAnsi="Arial"/>
                <w:b w:val="0"/>
                <w:sz w:val="14"/>
              </w:rPr>
              <w:t>Olivier ARLÈS</w:t>
            </w:r>
          </w:p>
        </w:tc>
        <w:tc>
          <w:tcPr>
            <w:tcW w:type="dxa" w:w="2131"/>
            <w:vAlign w:val="center"/>
          </w:tcPr>
          <w:p>
            <w:pPr>
              <w:spacing w:after="0" w:before="0"/>
            </w:pPr>
            <w:r>
              <w:rPr>
                <w:rFonts w:ascii="Arial" w:hAnsi="Arial"/>
              </w:rPr>
            </w:r>
            <w:r>
              <w:rPr>
                <w:rFonts w:ascii="Arial" w:hAnsi="Arial"/>
                <w:b w:val="0"/>
                <w:sz w:val="14"/>
              </w:rPr>
              <w:t>Finances, investissements et risques</w:t>
            </w:r>
          </w:p>
        </w:tc>
        <w:tc>
          <w:tcPr>
            <w:tcW w:type="dxa" w:w="2131"/>
            <w:vAlign w:val="center"/>
          </w:tcPr>
          <w:p>
            <w:pPr>
              <w:spacing w:after="0" w:before="0"/>
            </w:pPr>
            <w:r>
              <w:rPr>
                <w:rFonts w:ascii="Arial" w:hAnsi="Arial"/>
              </w:rPr>
            </w:r>
            <w:r>
              <w:rPr>
                <w:rFonts w:ascii="Arial" w:hAnsi="Arial"/>
                <w:b w:val="0"/>
                <w:sz w:val="14"/>
              </w:rPr>
              <w:t>Membre COMEX</w:t>
            </w:r>
          </w:p>
        </w:tc>
        <w:tc>
          <w:tcPr>
            <w:tcW w:type="dxa" w:w="2131"/>
            <w:vAlign w:val="center"/>
          </w:tcPr>
          <w:p>
            <w:pPr>
              <w:spacing w:after="0" w:before="0"/>
            </w:pPr>
            <w:r>
              <w:rPr>
                <w:rFonts w:ascii="Arial" w:hAnsi="Arial"/>
              </w:rPr>
            </w:r>
            <w:r>
              <w:rPr>
                <w:rFonts w:ascii="Arial" w:hAnsi="Arial"/>
                <w:b w:val="0"/>
                <w:sz w:val="14"/>
              </w:rPr>
              <w:t>Angle contrôle de gestion IT, SAM, rationalisation fournisseurs, pilotage budgets.</w:t>
            </w:r>
          </w:p>
        </w:tc>
      </w:tr>
    </w:tbl>
    <w:p>
      <w:pPr>
        <w:pStyle w:val="Heading1"/>
      </w:pPr>
      <w:r>
        <w:t>5. Angles d’attaque recommandés</w:t>
      </w:r>
    </w:p>
    <w:tbl>
      <w:tblPr>
        <w:tblStyle w:val="TableGrid"/>
        <w:tblW w:type="auto" w:w="0"/>
        <w:jc w:val="center"/>
        <w:tblLook w:firstColumn="1" w:firstRow="1" w:lastColumn="0" w:lastRow="0" w:noHBand="0" w:noVBand="1" w:val="04A0"/>
      </w:tblPr>
      <w:tblGrid>
        <w:gridCol w:w="3552"/>
        <w:gridCol w:w="3552"/>
        <w:gridCol w:w="3552"/>
      </w:tblGrid>
      <w:tr>
        <w:trPr>
          <w:tblHeader w:val="true"/>
        </w:trPr>
        <w:tc>
          <w:tcPr>
            <w:tcW w:type="dxa" w:w="3552"/>
            <w:vAlign w:val="center"/>
            <w:shd w:fill="6F2082"/>
          </w:tcPr>
          <w:p>
            <w:pPr>
              <w:spacing w:after="0" w:before="0"/>
            </w:pPr>
            <w:r>
              <w:rPr>
                <w:rFonts w:ascii="Arial" w:hAnsi="Arial"/>
              </w:rPr>
            </w:r>
            <w:r>
              <w:rPr>
                <w:rFonts w:ascii="Arial" w:hAnsi="Arial"/>
                <w:b/>
                <w:color w:val="FFFFFF"/>
                <w:sz w:val="16"/>
              </w:rPr>
              <w:t>Angle</w:t>
            </w:r>
          </w:p>
        </w:tc>
        <w:tc>
          <w:tcPr>
            <w:tcW w:type="dxa" w:w="3552"/>
            <w:vAlign w:val="center"/>
            <w:shd w:fill="6F2082"/>
          </w:tcPr>
          <w:p>
            <w:pPr>
              <w:spacing w:after="0" w:before="0"/>
            </w:pPr>
            <w:r>
              <w:rPr>
                <w:rFonts w:ascii="Arial" w:hAnsi="Arial"/>
              </w:rPr>
            </w:r>
            <w:r>
              <w:rPr>
                <w:rFonts w:ascii="Arial" w:hAnsi="Arial"/>
                <w:b/>
                <w:color w:val="FFFFFF"/>
                <w:sz w:val="16"/>
              </w:rPr>
              <w:t>Problèmes / besoins probables</w:t>
            </w:r>
          </w:p>
        </w:tc>
        <w:tc>
          <w:tcPr>
            <w:tcW w:type="dxa" w:w="3552"/>
            <w:vAlign w:val="center"/>
            <w:shd w:fill="6F2082"/>
          </w:tcPr>
          <w:p>
            <w:pPr>
              <w:spacing w:after="0" w:before="0"/>
            </w:pPr>
            <w:r>
              <w:rPr>
                <w:rFonts w:ascii="Arial" w:hAnsi="Arial"/>
              </w:rPr>
            </w:r>
            <w:r>
              <w:rPr>
                <w:rFonts w:ascii="Arial" w:hAnsi="Arial"/>
                <w:b/>
                <w:color w:val="FFFFFF"/>
                <w:sz w:val="16"/>
              </w:rPr>
              <w:t>Contacts à cibler</w:t>
            </w:r>
          </w:p>
        </w:tc>
      </w:tr>
      <w:tr>
        <w:tc>
          <w:tcPr>
            <w:tcW w:type="dxa" w:w="3552"/>
            <w:vAlign w:val="center"/>
          </w:tcPr>
          <w:p>
            <w:pPr>
              <w:spacing w:after="0" w:before="0"/>
            </w:pPr>
            <w:r>
              <w:rPr>
                <w:rFonts w:ascii="Arial" w:hAnsi="Arial"/>
              </w:rPr>
            </w:r>
            <w:r>
              <w:rPr>
                <w:rFonts w:ascii="Arial" w:hAnsi="Arial"/>
                <w:b w:val="0"/>
                <w:sz w:val="16"/>
              </w:rPr>
              <w:t>Data &amp; IA sécurisée</w:t>
            </w:r>
          </w:p>
        </w:tc>
        <w:tc>
          <w:tcPr>
            <w:tcW w:type="dxa" w:w="3552"/>
            <w:vAlign w:val="center"/>
          </w:tcPr>
          <w:p>
            <w:pPr>
              <w:spacing w:after="0" w:before="0"/>
            </w:pPr>
            <w:r>
              <w:rPr>
                <w:rFonts w:ascii="Arial" w:hAnsi="Arial"/>
              </w:rPr>
            </w:r>
            <w:r>
              <w:rPr>
                <w:rFonts w:ascii="Arial" w:hAnsi="Arial"/>
                <w:b w:val="0"/>
                <w:sz w:val="16"/>
              </w:rPr>
              <w:t>Almia, data/IA, gouvernance, industrialisation IA, assistants métiers, MLOps, data quality.</w:t>
            </w:r>
          </w:p>
        </w:tc>
        <w:tc>
          <w:tcPr>
            <w:tcW w:type="dxa" w:w="3552"/>
            <w:vAlign w:val="center"/>
          </w:tcPr>
          <w:p>
            <w:pPr>
              <w:spacing w:after="0" w:before="0"/>
            </w:pPr>
            <w:r>
              <w:rPr>
                <w:rFonts w:ascii="Arial" w:hAnsi="Arial"/>
              </w:rPr>
            </w:r>
            <w:r>
              <w:rPr>
                <w:rFonts w:ascii="Arial" w:hAnsi="Arial"/>
                <w:b w:val="0"/>
                <w:sz w:val="16"/>
              </w:rPr>
              <w:t>Pierre-Emmanuel Le Parco, Pascal Martinez, Stéphane Lapierre, Marjorie de Jaeghere</w:t>
            </w:r>
          </w:p>
        </w:tc>
      </w:tr>
      <w:tr>
        <w:tc>
          <w:tcPr>
            <w:tcW w:type="dxa" w:w="3552"/>
            <w:vAlign w:val="center"/>
          </w:tcPr>
          <w:p>
            <w:pPr>
              <w:spacing w:after="0" w:before="0"/>
            </w:pPr>
            <w:r>
              <w:rPr>
                <w:rFonts w:ascii="Arial" w:hAnsi="Arial"/>
              </w:rPr>
            </w:r>
            <w:r>
              <w:rPr>
                <w:rFonts w:ascii="Arial" w:hAnsi="Arial"/>
                <w:b w:val="0"/>
                <w:sz w:val="16"/>
              </w:rPr>
              <w:t>Cyber, conformité et résilience</w:t>
            </w:r>
          </w:p>
        </w:tc>
        <w:tc>
          <w:tcPr>
            <w:tcW w:type="dxa" w:w="3552"/>
            <w:vAlign w:val="center"/>
          </w:tcPr>
          <w:p>
            <w:pPr>
              <w:spacing w:after="0" w:before="0"/>
            </w:pPr>
            <w:r>
              <w:rPr>
                <w:rFonts w:ascii="Arial" w:hAnsi="Arial"/>
              </w:rPr>
            </w:r>
            <w:r>
              <w:rPr>
                <w:rFonts w:ascii="Arial" w:hAnsi="Arial"/>
                <w:b w:val="0"/>
                <w:sz w:val="16"/>
              </w:rPr>
              <w:t>DORA, NIS2, IAM, GRC, SOC, sécurité cloud, tests et surveillance sécurité.</w:t>
            </w:r>
          </w:p>
        </w:tc>
        <w:tc>
          <w:tcPr>
            <w:tcW w:type="dxa" w:w="3552"/>
            <w:vAlign w:val="center"/>
          </w:tcPr>
          <w:p>
            <w:pPr>
              <w:spacing w:after="0" w:before="0"/>
            </w:pPr>
            <w:r>
              <w:rPr>
                <w:rFonts w:ascii="Arial" w:hAnsi="Arial"/>
              </w:rPr>
            </w:r>
            <w:r>
              <w:rPr>
                <w:rFonts w:ascii="Arial" w:hAnsi="Arial"/>
                <w:b w:val="0"/>
                <w:sz w:val="16"/>
              </w:rPr>
              <w:t>Xavier Migaud, Axel Bouchery, Stéphanie Benzaquine, Anne de la Porte du Theil</w:t>
            </w:r>
          </w:p>
        </w:tc>
      </w:tr>
      <w:tr>
        <w:tc>
          <w:tcPr>
            <w:tcW w:type="dxa" w:w="3552"/>
            <w:vAlign w:val="center"/>
          </w:tcPr>
          <w:p>
            <w:pPr>
              <w:spacing w:after="0" w:before="0"/>
            </w:pPr>
            <w:r>
              <w:rPr>
                <w:rFonts w:ascii="Arial" w:hAnsi="Arial"/>
              </w:rPr>
            </w:r>
            <w:r>
              <w:rPr>
                <w:rFonts w:ascii="Arial" w:hAnsi="Arial"/>
                <w:b w:val="0"/>
                <w:sz w:val="16"/>
              </w:rPr>
              <w:t>Retraite complémentaire / AMOA</w:t>
            </w:r>
          </w:p>
        </w:tc>
        <w:tc>
          <w:tcPr>
            <w:tcW w:type="dxa" w:w="3552"/>
            <w:vAlign w:val="center"/>
          </w:tcPr>
          <w:p>
            <w:pPr>
              <w:spacing w:after="0" w:before="0"/>
            </w:pPr>
            <w:r>
              <w:rPr>
                <w:rFonts w:ascii="Arial" w:hAnsi="Arial"/>
              </w:rPr>
            </w:r>
            <w:r>
              <w:rPr>
                <w:rFonts w:ascii="Arial" w:hAnsi="Arial"/>
                <w:b w:val="0"/>
                <w:sz w:val="16"/>
              </w:rPr>
              <w:t>GCE, DSN, GRECCO, RNE/RNA, recette, suivi de production métier, incidents, déploiements IRC.</w:t>
            </w:r>
          </w:p>
        </w:tc>
        <w:tc>
          <w:tcPr>
            <w:tcW w:type="dxa" w:w="3552"/>
            <w:vAlign w:val="center"/>
          </w:tcPr>
          <w:p>
            <w:pPr>
              <w:spacing w:after="0" w:before="0"/>
            </w:pPr>
            <w:r>
              <w:rPr>
                <w:rFonts w:ascii="Arial" w:hAnsi="Arial"/>
              </w:rPr>
            </w:r>
            <w:r>
              <w:rPr>
                <w:rFonts w:ascii="Arial" w:hAnsi="Arial"/>
                <w:b w:val="0"/>
                <w:sz w:val="16"/>
              </w:rPr>
              <w:t>François Ringaud, DSI, équipes MOA/production retraite</w:t>
            </w:r>
          </w:p>
        </w:tc>
      </w:tr>
      <w:tr>
        <w:tc>
          <w:tcPr>
            <w:tcW w:type="dxa" w:w="3552"/>
            <w:vAlign w:val="center"/>
          </w:tcPr>
          <w:p>
            <w:pPr>
              <w:spacing w:after="0" w:before="0"/>
            </w:pPr>
            <w:r>
              <w:rPr>
                <w:rFonts w:ascii="Arial" w:hAnsi="Arial"/>
              </w:rPr>
            </w:r>
            <w:r>
              <w:rPr>
                <w:rFonts w:ascii="Arial" w:hAnsi="Arial"/>
                <w:b w:val="0"/>
                <w:sz w:val="16"/>
              </w:rPr>
              <w:t>Relation client / Salesforce / digital</w:t>
            </w:r>
          </w:p>
        </w:tc>
        <w:tc>
          <w:tcPr>
            <w:tcW w:type="dxa" w:w="3552"/>
            <w:vAlign w:val="center"/>
          </w:tcPr>
          <w:p>
            <w:pPr>
              <w:spacing w:after="0" w:before="0"/>
            </w:pPr>
            <w:r>
              <w:rPr>
                <w:rFonts w:ascii="Arial" w:hAnsi="Arial"/>
              </w:rPr>
            </w:r>
            <w:r>
              <w:rPr>
                <w:rFonts w:ascii="Arial" w:hAnsi="Arial"/>
                <w:b w:val="0"/>
                <w:sz w:val="16"/>
              </w:rPr>
              <w:t>Product ownership Salesforce, webanalytics, parcours clients, réclamations, omnicanal.</w:t>
            </w:r>
          </w:p>
        </w:tc>
        <w:tc>
          <w:tcPr>
            <w:tcW w:type="dxa" w:w="3552"/>
            <w:vAlign w:val="center"/>
          </w:tcPr>
          <w:p>
            <w:pPr>
              <w:spacing w:after="0" w:before="0"/>
            </w:pPr>
            <w:r>
              <w:rPr>
                <w:rFonts w:ascii="Arial" w:hAnsi="Arial"/>
              </w:rPr>
            </w:r>
            <w:r>
              <w:rPr>
                <w:rFonts w:ascii="Arial" w:hAnsi="Arial"/>
                <w:b w:val="0"/>
                <w:sz w:val="16"/>
              </w:rPr>
              <w:t>Stéphane Lapierre, Christophe Bournit, Alexandrine de Vallois, Charlotte Mornet</w:t>
            </w:r>
          </w:p>
        </w:tc>
      </w:tr>
      <w:tr>
        <w:tc>
          <w:tcPr>
            <w:tcW w:type="dxa" w:w="3552"/>
            <w:vAlign w:val="center"/>
          </w:tcPr>
          <w:p>
            <w:pPr>
              <w:spacing w:after="0" w:before="0"/>
            </w:pPr>
            <w:r>
              <w:rPr>
                <w:rFonts w:ascii="Arial" w:hAnsi="Arial"/>
              </w:rPr>
            </w:r>
            <w:r>
              <w:rPr>
                <w:rFonts w:ascii="Arial" w:hAnsi="Arial"/>
                <w:b w:val="0"/>
                <w:sz w:val="16"/>
              </w:rPr>
              <w:t>Production, DevOps et applicatif</w:t>
            </w:r>
          </w:p>
        </w:tc>
        <w:tc>
          <w:tcPr>
            <w:tcW w:type="dxa" w:w="3552"/>
            <w:vAlign w:val="center"/>
          </w:tcPr>
          <w:p>
            <w:pPr>
              <w:spacing w:after="0" w:before="0"/>
            </w:pPr>
            <w:r>
              <w:rPr>
                <w:rFonts w:ascii="Arial" w:hAnsi="Arial"/>
              </w:rPr>
            </w:r>
            <w:r>
              <w:rPr>
                <w:rFonts w:ascii="Arial" w:hAnsi="Arial"/>
                <w:b w:val="0"/>
                <w:sz w:val="16"/>
              </w:rPr>
              <w:t>Java, MCO/MCS, support applicatif, DevOps, exploitation, fiabilisation de run.</w:t>
            </w:r>
          </w:p>
        </w:tc>
        <w:tc>
          <w:tcPr>
            <w:tcW w:type="dxa" w:w="3552"/>
            <w:vAlign w:val="center"/>
          </w:tcPr>
          <w:p>
            <w:pPr>
              <w:spacing w:after="0" w:before="0"/>
            </w:pPr>
            <w:r>
              <w:rPr>
                <w:rFonts w:ascii="Arial" w:hAnsi="Arial"/>
              </w:rPr>
            </w:r>
            <w:r>
              <w:rPr>
                <w:rFonts w:ascii="Arial" w:hAnsi="Arial"/>
                <w:b w:val="0"/>
                <w:sz w:val="16"/>
              </w:rPr>
              <w:t>Stéphane Lambert, William Léger, Thierry Massart, Denis Mallet</w:t>
            </w:r>
          </w:p>
        </w:tc>
      </w:tr>
      <w:tr>
        <w:tc>
          <w:tcPr>
            <w:tcW w:type="dxa" w:w="3552"/>
            <w:vAlign w:val="center"/>
          </w:tcPr>
          <w:p>
            <w:pPr>
              <w:spacing w:after="0" w:before="0"/>
            </w:pPr>
            <w:r>
              <w:rPr>
                <w:rFonts w:ascii="Arial" w:hAnsi="Arial"/>
              </w:rPr>
            </w:r>
            <w:r>
              <w:rPr>
                <w:rFonts w:ascii="Arial" w:hAnsi="Arial"/>
                <w:b w:val="0"/>
                <w:sz w:val="16"/>
              </w:rPr>
              <w:t>Pilotage fournisseurs / SAM / coûts IT</w:t>
            </w:r>
          </w:p>
        </w:tc>
        <w:tc>
          <w:tcPr>
            <w:tcW w:type="dxa" w:w="3552"/>
            <w:vAlign w:val="center"/>
          </w:tcPr>
          <w:p>
            <w:pPr>
              <w:spacing w:after="0" w:before="0"/>
            </w:pPr>
            <w:r>
              <w:rPr>
                <w:rFonts w:ascii="Arial" w:hAnsi="Arial"/>
              </w:rPr>
            </w:r>
            <w:r>
              <w:rPr>
                <w:rFonts w:ascii="Arial" w:hAnsi="Arial"/>
                <w:b w:val="0"/>
                <w:sz w:val="16"/>
              </w:rPr>
              <w:t>Rationalisation fournisseurs, SAM, licences, pilotage contrats, contrôle de gestion IT.</w:t>
            </w:r>
          </w:p>
        </w:tc>
        <w:tc>
          <w:tcPr>
            <w:tcW w:type="dxa" w:w="3552"/>
            <w:vAlign w:val="center"/>
          </w:tcPr>
          <w:p>
            <w:pPr>
              <w:spacing w:after="0" w:before="0"/>
            </w:pPr>
            <w:r>
              <w:rPr>
                <w:rFonts w:ascii="Arial" w:hAnsi="Arial"/>
              </w:rPr>
            </w:r>
            <w:r>
              <w:rPr>
                <w:rFonts w:ascii="Arial" w:hAnsi="Arial"/>
                <w:b w:val="0"/>
                <w:sz w:val="16"/>
              </w:rPr>
              <w:t>Yann Taniel, Olivier Arlès, direction finances et risques</w:t>
            </w:r>
          </w:p>
        </w:tc>
      </w:tr>
    </w:tbl>
    <w:p>
      <w:pPr>
        <w:pStyle w:val="Heading1"/>
      </w:pPr>
      <w:r>
        <w:t>6. Postes ouverts et signaux de besoin</w:t>
      </w:r>
    </w:p>
    <w:p>
      <w:r>
        <w:rPr>
          <w:b/>
        </w:rPr>
        <w:t xml:space="preserve">Lecture commerciale : </w:t>
      </w:r>
      <w:r>
        <w:t>les postes identifiés ne doivent pas être lus uniquement comme des recrutements RH. Ils révèlent des zones de tension ou de transformation : Salesforce, Java, support retraite, data, cyber, architecture, MOA et production.</w:t>
      </w:r>
    </w:p>
    <w:tbl>
      <w:tblPr>
        <w:tblStyle w:val="TableGrid"/>
        <w:tblW w:type="auto" w:w="0"/>
        <w:jc w:val="center"/>
        <w:tblLook w:firstColumn="1" w:firstRow="1" w:lastColumn="0" w:lastRow="0" w:noHBand="0" w:noVBand="1" w:val="04A0"/>
      </w:tblPr>
      <w:tblGrid>
        <w:gridCol w:w="2664"/>
        <w:gridCol w:w="2664"/>
        <w:gridCol w:w="2664"/>
        <w:gridCol w:w="2664"/>
      </w:tblGrid>
      <w:tr>
        <w:trPr>
          <w:tblHeader w:val="true"/>
        </w:trPr>
        <w:tc>
          <w:tcPr>
            <w:tcW w:type="dxa" w:w="2664"/>
            <w:vAlign w:val="center"/>
            <w:shd w:fill="6F2082"/>
          </w:tcPr>
          <w:p>
            <w:pPr>
              <w:spacing w:after="0" w:before="0"/>
            </w:pPr>
            <w:r>
              <w:rPr>
                <w:rFonts w:ascii="Arial" w:hAnsi="Arial"/>
              </w:rPr>
            </w:r>
            <w:r>
              <w:rPr>
                <w:rFonts w:ascii="Arial" w:hAnsi="Arial"/>
                <w:b/>
                <w:color w:val="FFFFFF"/>
                <w:sz w:val="16"/>
              </w:rPr>
              <w:t>Poste / signal</w:t>
            </w:r>
          </w:p>
        </w:tc>
        <w:tc>
          <w:tcPr>
            <w:tcW w:type="dxa" w:w="2664"/>
            <w:vAlign w:val="center"/>
            <w:shd w:fill="6F2082"/>
          </w:tcPr>
          <w:p>
            <w:pPr>
              <w:spacing w:after="0" w:before="0"/>
            </w:pPr>
            <w:r>
              <w:rPr>
                <w:rFonts w:ascii="Arial" w:hAnsi="Arial"/>
              </w:rPr>
            </w:r>
            <w:r>
              <w:rPr>
                <w:rFonts w:ascii="Arial" w:hAnsi="Arial"/>
                <w:b/>
                <w:color w:val="FFFFFF"/>
                <w:sz w:val="16"/>
              </w:rPr>
              <w:t>Localisation</w:t>
            </w:r>
          </w:p>
        </w:tc>
        <w:tc>
          <w:tcPr>
            <w:tcW w:type="dxa" w:w="2664"/>
            <w:vAlign w:val="center"/>
            <w:shd w:fill="6F2082"/>
          </w:tcPr>
          <w:p>
            <w:pPr>
              <w:spacing w:after="0" w:before="0"/>
            </w:pPr>
            <w:r>
              <w:rPr>
                <w:rFonts w:ascii="Arial" w:hAnsi="Arial"/>
              </w:rPr>
            </w:r>
            <w:r>
              <w:rPr>
                <w:rFonts w:ascii="Arial" w:hAnsi="Arial"/>
                <w:b/>
                <w:color w:val="FFFFFF"/>
                <w:sz w:val="16"/>
              </w:rPr>
              <w:t>Domaine</w:t>
            </w:r>
          </w:p>
        </w:tc>
        <w:tc>
          <w:tcPr>
            <w:tcW w:type="dxa" w:w="2664"/>
            <w:vAlign w:val="center"/>
            <w:shd w:fill="6F2082"/>
          </w:tcPr>
          <w:p>
            <w:pPr>
              <w:spacing w:after="0" w:before="0"/>
            </w:pPr>
            <w:r>
              <w:rPr>
                <w:rFonts w:ascii="Arial" w:hAnsi="Arial"/>
              </w:rPr>
            </w:r>
            <w:r>
              <w:rPr>
                <w:rFonts w:ascii="Arial" w:hAnsi="Arial"/>
                <w:b/>
                <w:color w:val="FFFFFF"/>
                <w:sz w:val="16"/>
              </w:rPr>
              <w:t>Lecture commerciale</w:t>
            </w:r>
          </w:p>
        </w:tc>
      </w:tr>
      <w:tr>
        <w:tc>
          <w:tcPr>
            <w:tcW w:type="dxa" w:w="2664"/>
            <w:vAlign w:val="center"/>
          </w:tcPr>
          <w:p>
            <w:pPr>
              <w:spacing w:after="0" w:before="0"/>
            </w:pPr>
            <w:r>
              <w:rPr>
                <w:rFonts w:ascii="Arial" w:hAnsi="Arial"/>
              </w:rPr>
            </w:r>
            <w:r>
              <w:rPr>
                <w:rFonts w:ascii="Arial" w:hAnsi="Arial"/>
                <w:b w:val="0"/>
                <w:sz w:val="16"/>
              </w:rPr>
              <w:t>Responsable de service F/H</w:t>
            </w:r>
          </w:p>
        </w:tc>
        <w:tc>
          <w:tcPr>
            <w:tcW w:type="dxa" w:w="2664"/>
            <w:vAlign w:val="center"/>
          </w:tcPr>
          <w:p>
            <w:pPr>
              <w:spacing w:after="0" w:before="0"/>
            </w:pPr>
            <w:r>
              <w:rPr>
                <w:rFonts w:ascii="Arial" w:hAnsi="Arial"/>
              </w:rPr>
            </w:r>
            <w:r>
              <w:rPr>
                <w:rFonts w:ascii="Arial" w:hAnsi="Arial"/>
                <w:b w:val="0"/>
                <w:sz w:val="16"/>
              </w:rPr>
              <w:t>Paris</w:t>
            </w:r>
          </w:p>
        </w:tc>
        <w:tc>
          <w:tcPr>
            <w:tcW w:type="dxa" w:w="2664"/>
            <w:vAlign w:val="center"/>
          </w:tcPr>
          <w:p>
            <w:pPr>
              <w:spacing w:after="0" w:before="0"/>
            </w:pPr>
            <w:r>
              <w:rPr>
                <w:rFonts w:ascii="Arial" w:hAnsi="Arial"/>
              </w:rPr>
            </w:r>
            <w:r>
              <w:rPr>
                <w:rFonts w:ascii="Arial" w:hAnsi="Arial"/>
                <w:b w:val="0"/>
                <w:sz w:val="16"/>
              </w:rPr>
              <w:t>Management / IT</w:t>
            </w:r>
          </w:p>
        </w:tc>
        <w:tc>
          <w:tcPr>
            <w:tcW w:type="dxa" w:w="2664"/>
            <w:vAlign w:val="center"/>
          </w:tcPr>
          <w:p>
            <w:pPr>
              <w:spacing w:after="0" w:before="0"/>
            </w:pPr>
            <w:r>
              <w:rPr>
                <w:rFonts w:ascii="Arial" w:hAnsi="Arial"/>
              </w:rPr>
            </w:r>
            <w:r>
              <w:rPr>
                <w:rFonts w:ascii="Arial" w:hAnsi="Arial"/>
                <w:b w:val="0"/>
                <w:sz w:val="16"/>
              </w:rPr>
              <w:t>Besoin de pilotage de service et management opérationnel.</w:t>
            </w:r>
          </w:p>
        </w:tc>
      </w:tr>
      <w:tr>
        <w:tc>
          <w:tcPr>
            <w:tcW w:type="dxa" w:w="2664"/>
            <w:vAlign w:val="center"/>
          </w:tcPr>
          <w:p>
            <w:pPr>
              <w:spacing w:after="0" w:before="0"/>
            </w:pPr>
            <w:r>
              <w:rPr>
                <w:rFonts w:ascii="Arial" w:hAnsi="Arial"/>
              </w:rPr>
            </w:r>
            <w:r>
              <w:rPr>
                <w:rFonts w:ascii="Arial" w:hAnsi="Arial"/>
                <w:b w:val="0"/>
                <w:sz w:val="16"/>
              </w:rPr>
              <w:t>Développeur Java H/F</w:t>
            </w:r>
          </w:p>
        </w:tc>
        <w:tc>
          <w:tcPr>
            <w:tcW w:type="dxa" w:w="2664"/>
            <w:vAlign w:val="center"/>
          </w:tcPr>
          <w:p>
            <w:pPr>
              <w:spacing w:after="0" w:before="0"/>
            </w:pPr>
            <w:r>
              <w:rPr>
                <w:rFonts w:ascii="Arial" w:hAnsi="Arial"/>
              </w:rPr>
            </w:r>
            <w:r>
              <w:rPr>
                <w:rFonts w:ascii="Arial" w:hAnsi="Arial"/>
                <w:b w:val="0"/>
                <w:sz w:val="16"/>
              </w:rPr>
              <w:t>Paris</w:t>
            </w:r>
          </w:p>
        </w:tc>
        <w:tc>
          <w:tcPr>
            <w:tcW w:type="dxa" w:w="2664"/>
            <w:vAlign w:val="center"/>
          </w:tcPr>
          <w:p>
            <w:pPr>
              <w:spacing w:after="0" w:before="0"/>
            </w:pPr>
            <w:r>
              <w:rPr>
                <w:rFonts w:ascii="Arial" w:hAnsi="Arial"/>
              </w:rPr>
            </w:r>
            <w:r>
              <w:rPr>
                <w:rFonts w:ascii="Arial" w:hAnsi="Arial"/>
                <w:b w:val="0"/>
                <w:sz w:val="16"/>
              </w:rPr>
              <w:t>Développement applicatif</w:t>
            </w:r>
          </w:p>
        </w:tc>
        <w:tc>
          <w:tcPr>
            <w:tcW w:type="dxa" w:w="2664"/>
            <w:vAlign w:val="center"/>
          </w:tcPr>
          <w:p>
            <w:pPr>
              <w:spacing w:after="0" w:before="0"/>
            </w:pPr>
            <w:r>
              <w:rPr>
                <w:rFonts w:ascii="Arial" w:hAnsi="Arial"/>
              </w:rPr>
            </w:r>
            <w:r>
              <w:rPr>
                <w:rFonts w:ascii="Arial" w:hAnsi="Arial"/>
                <w:b w:val="0"/>
                <w:sz w:val="16"/>
              </w:rPr>
              <w:t>Signal de maintien et évolution applicative Java.</w:t>
            </w:r>
          </w:p>
        </w:tc>
      </w:tr>
      <w:tr>
        <w:tc>
          <w:tcPr>
            <w:tcW w:type="dxa" w:w="2664"/>
            <w:vAlign w:val="center"/>
          </w:tcPr>
          <w:p>
            <w:pPr>
              <w:spacing w:after="0" w:before="0"/>
            </w:pPr>
            <w:r>
              <w:rPr>
                <w:rFonts w:ascii="Arial" w:hAnsi="Arial"/>
              </w:rPr>
            </w:r>
            <w:r>
              <w:rPr>
                <w:rFonts w:ascii="Arial" w:hAnsi="Arial"/>
                <w:b w:val="0"/>
                <w:sz w:val="16"/>
              </w:rPr>
              <w:t>Product Owner Salesforce H/F</w:t>
            </w:r>
          </w:p>
        </w:tc>
        <w:tc>
          <w:tcPr>
            <w:tcW w:type="dxa" w:w="2664"/>
            <w:vAlign w:val="center"/>
          </w:tcPr>
          <w:p>
            <w:pPr>
              <w:spacing w:after="0" w:before="0"/>
            </w:pPr>
            <w:r>
              <w:rPr>
                <w:rFonts w:ascii="Arial" w:hAnsi="Arial"/>
              </w:rPr>
            </w:r>
            <w:r>
              <w:rPr>
                <w:rFonts w:ascii="Arial" w:hAnsi="Arial"/>
                <w:b w:val="0"/>
                <w:sz w:val="16"/>
              </w:rPr>
              <w:t>Paris</w:t>
            </w:r>
          </w:p>
        </w:tc>
        <w:tc>
          <w:tcPr>
            <w:tcW w:type="dxa" w:w="2664"/>
            <w:vAlign w:val="center"/>
          </w:tcPr>
          <w:p>
            <w:pPr>
              <w:spacing w:after="0" w:before="0"/>
            </w:pPr>
            <w:r>
              <w:rPr>
                <w:rFonts w:ascii="Arial" w:hAnsi="Arial"/>
              </w:rPr>
            </w:r>
            <w:r>
              <w:rPr>
                <w:rFonts w:ascii="Arial" w:hAnsi="Arial"/>
                <w:b w:val="0"/>
                <w:sz w:val="16"/>
              </w:rPr>
              <w:t>CRM / relation client</w:t>
            </w:r>
          </w:p>
        </w:tc>
        <w:tc>
          <w:tcPr>
            <w:tcW w:type="dxa" w:w="2664"/>
            <w:vAlign w:val="center"/>
          </w:tcPr>
          <w:p>
            <w:pPr>
              <w:spacing w:after="0" w:before="0"/>
            </w:pPr>
            <w:r>
              <w:rPr>
                <w:rFonts w:ascii="Arial" w:hAnsi="Arial"/>
              </w:rPr>
            </w:r>
            <w:r>
              <w:rPr>
                <w:rFonts w:ascii="Arial" w:hAnsi="Arial"/>
                <w:b w:val="0"/>
                <w:sz w:val="16"/>
              </w:rPr>
              <w:t>Signal fort sur transformation relation client et plateformes digitales.</w:t>
            </w:r>
          </w:p>
        </w:tc>
      </w:tr>
      <w:tr>
        <w:tc>
          <w:tcPr>
            <w:tcW w:type="dxa" w:w="2664"/>
            <w:vAlign w:val="center"/>
          </w:tcPr>
          <w:p>
            <w:pPr>
              <w:spacing w:after="0" w:before="0"/>
            </w:pPr>
            <w:r>
              <w:rPr>
                <w:rFonts w:ascii="Arial" w:hAnsi="Arial"/>
              </w:rPr>
            </w:r>
            <w:r>
              <w:rPr>
                <w:rFonts w:ascii="Arial" w:hAnsi="Arial"/>
                <w:b w:val="0"/>
                <w:sz w:val="16"/>
              </w:rPr>
              <w:t>Alternance Architecte en systèmes d’information</w:t>
            </w:r>
          </w:p>
        </w:tc>
        <w:tc>
          <w:tcPr>
            <w:tcW w:type="dxa" w:w="2664"/>
            <w:vAlign w:val="center"/>
          </w:tcPr>
          <w:p>
            <w:pPr>
              <w:spacing w:after="0" w:before="0"/>
            </w:pPr>
            <w:r>
              <w:rPr>
                <w:rFonts w:ascii="Arial" w:hAnsi="Arial"/>
              </w:rPr>
            </w:r>
            <w:r>
              <w:rPr>
                <w:rFonts w:ascii="Arial" w:hAnsi="Arial"/>
                <w:b w:val="0"/>
                <w:sz w:val="16"/>
              </w:rPr>
              <w:t>Paris</w:t>
            </w:r>
          </w:p>
        </w:tc>
        <w:tc>
          <w:tcPr>
            <w:tcW w:type="dxa" w:w="2664"/>
            <w:vAlign w:val="center"/>
          </w:tcPr>
          <w:p>
            <w:pPr>
              <w:spacing w:after="0" w:before="0"/>
            </w:pPr>
            <w:r>
              <w:rPr>
                <w:rFonts w:ascii="Arial" w:hAnsi="Arial"/>
              </w:rPr>
            </w:r>
            <w:r>
              <w:rPr>
                <w:rFonts w:ascii="Arial" w:hAnsi="Arial"/>
                <w:b w:val="0"/>
                <w:sz w:val="16"/>
              </w:rPr>
              <w:t>Architecture SI</w:t>
            </w:r>
          </w:p>
        </w:tc>
        <w:tc>
          <w:tcPr>
            <w:tcW w:type="dxa" w:w="2664"/>
            <w:vAlign w:val="center"/>
          </w:tcPr>
          <w:p>
            <w:pPr>
              <w:spacing w:after="0" w:before="0"/>
            </w:pPr>
            <w:r>
              <w:rPr>
                <w:rFonts w:ascii="Arial" w:hAnsi="Arial"/>
              </w:rPr>
            </w:r>
            <w:r>
              <w:rPr>
                <w:rFonts w:ascii="Arial" w:hAnsi="Arial"/>
                <w:b w:val="0"/>
                <w:sz w:val="16"/>
              </w:rPr>
              <w:t>Besoin de renfort et d’acculturation architecture.</w:t>
            </w:r>
          </w:p>
        </w:tc>
      </w:tr>
      <w:tr>
        <w:tc>
          <w:tcPr>
            <w:tcW w:type="dxa" w:w="2664"/>
            <w:vAlign w:val="center"/>
          </w:tcPr>
          <w:p>
            <w:pPr>
              <w:spacing w:after="0" w:before="0"/>
            </w:pPr>
            <w:r>
              <w:rPr>
                <w:rFonts w:ascii="Arial" w:hAnsi="Arial"/>
              </w:rPr>
            </w:r>
            <w:r>
              <w:rPr>
                <w:rFonts w:ascii="Arial" w:hAnsi="Arial"/>
                <w:b w:val="0"/>
                <w:sz w:val="16"/>
              </w:rPr>
              <w:t>Alternance Webanalyste H/F</w:t>
            </w:r>
          </w:p>
        </w:tc>
        <w:tc>
          <w:tcPr>
            <w:tcW w:type="dxa" w:w="2664"/>
            <w:vAlign w:val="center"/>
          </w:tcPr>
          <w:p>
            <w:pPr>
              <w:spacing w:after="0" w:before="0"/>
            </w:pPr>
            <w:r>
              <w:rPr>
                <w:rFonts w:ascii="Arial" w:hAnsi="Arial"/>
              </w:rPr>
            </w:r>
            <w:r>
              <w:rPr>
                <w:rFonts w:ascii="Arial" w:hAnsi="Arial"/>
                <w:b w:val="0"/>
                <w:sz w:val="16"/>
              </w:rPr>
              <w:t>Paris</w:t>
            </w:r>
          </w:p>
        </w:tc>
        <w:tc>
          <w:tcPr>
            <w:tcW w:type="dxa" w:w="2664"/>
            <w:vAlign w:val="center"/>
          </w:tcPr>
          <w:p>
            <w:pPr>
              <w:spacing w:after="0" w:before="0"/>
            </w:pPr>
            <w:r>
              <w:rPr>
                <w:rFonts w:ascii="Arial" w:hAnsi="Arial"/>
              </w:rPr>
            </w:r>
            <w:r>
              <w:rPr>
                <w:rFonts w:ascii="Arial" w:hAnsi="Arial"/>
                <w:b w:val="0"/>
                <w:sz w:val="16"/>
              </w:rPr>
              <w:t>Digital analytics</w:t>
            </w:r>
          </w:p>
        </w:tc>
        <w:tc>
          <w:tcPr>
            <w:tcW w:type="dxa" w:w="2664"/>
            <w:vAlign w:val="center"/>
          </w:tcPr>
          <w:p>
            <w:pPr>
              <w:spacing w:after="0" w:before="0"/>
            </w:pPr>
            <w:r>
              <w:rPr>
                <w:rFonts w:ascii="Arial" w:hAnsi="Arial"/>
              </w:rPr>
            </w:r>
            <w:r>
              <w:rPr>
                <w:rFonts w:ascii="Arial" w:hAnsi="Arial"/>
                <w:b w:val="0"/>
                <w:sz w:val="16"/>
              </w:rPr>
              <w:t>Signal web / parcours digitaux / pilotage de performance.</w:t>
            </w:r>
          </w:p>
        </w:tc>
      </w:tr>
      <w:tr>
        <w:tc>
          <w:tcPr>
            <w:tcW w:type="dxa" w:w="2664"/>
            <w:vAlign w:val="center"/>
          </w:tcPr>
          <w:p>
            <w:pPr>
              <w:spacing w:after="0" w:before="0"/>
            </w:pPr>
            <w:r>
              <w:rPr>
                <w:rFonts w:ascii="Arial" w:hAnsi="Arial"/>
              </w:rPr>
            </w:r>
            <w:r>
              <w:rPr>
                <w:rFonts w:ascii="Arial" w:hAnsi="Arial"/>
                <w:b w:val="0"/>
                <w:sz w:val="16"/>
              </w:rPr>
              <w:t>Alternant Cybersécurité H/F</w:t>
            </w:r>
          </w:p>
        </w:tc>
        <w:tc>
          <w:tcPr>
            <w:tcW w:type="dxa" w:w="2664"/>
            <w:vAlign w:val="center"/>
          </w:tcPr>
          <w:p>
            <w:pPr>
              <w:spacing w:after="0" w:before="0"/>
            </w:pPr>
            <w:r>
              <w:rPr>
                <w:rFonts w:ascii="Arial" w:hAnsi="Arial"/>
              </w:rPr>
            </w:r>
            <w:r>
              <w:rPr>
                <w:rFonts w:ascii="Arial" w:hAnsi="Arial"/>
                <w:b w:val="0"/>
                <w:sz w:val="16"/>
              </w:rPr>
              <w:t>Esvres</w:t>
            </w:r>
          </w:p>
        </w:tc>
        <w:tc>
          <w:tcPr>
            <w:tcW w:type="dxa" w:w="2664"/>
            <w:vAlign w:val="center"/>
          </w:tcPr>
          <w:p>
            <w:pPr>
              <w:spacing w:after="0" w:before="0"/>
            </w:pPr>
            <w:r>
              <w:rPr>
                <w:rFonts w:ascii="Arial" w:hAnsi="Arial"/>
              </w:rPr>
            </w:r>
            <w:r>
              <w:rPr>
                <w:rFonts w:ascii="Arial" w:hAnsi="Arial"/>
                <w:b w:val="0"/>
                <w:sz w:val="16"/>
              </w:rPr>
              <w:t>Cyber sécurité</w:t>
            </w:r>
          </w:p>
        </w:tc>
        <w:tc>
          <w:tcPr>
            <w:tcW w:type="dxa" w:w="2664"/>
            <w:vAlign w:val="center"/>
          </w:tcPr>
          <w:p>
            <w:pPr>
              <w:spacing w:after="0" w:before="0"/>
            </w:pPr>
            <w:r>
              <w:rPr>
                <w:rFonts w:ascii="Arial" w:hAnsi="Arial"/>
              </w:rPr>
            </w:r>
            <w:r>
              <w:rPr>
                <w:rFonts w:ascii="Arial" w:hAnsi="Arial"/>
                <w:b w:val="0"/>
                <w:sz w:val="16"/>
              </w:rPr>
              <w:t>Outils sécurité, surveillance, tests et mise en production.</w:t>
            </w:r>
          </w:p>
        </w:tc>
      </w:tr>
      <w:tr>
        <w:tc>
          <w:tcPr>
            <w:tcW w:type="dxa" w:w="2664"/>
            <w:vAlign w:val="center"/>
          </w:tcPr>
          <w:p>
            <w:pPr>
              <w:spacing w:after="0" w:before="0"/>
            </w:pPr>
            <w:r>
              <w:rPr>
                <w:rFonts w:ascii="Arial" w:hAnsi="Arial"/>
              </w:rPr>
            </w:r>
            <w:r>
              <w:rPr>
                <w:rFonts w:ascii="Arial" w:hAnsi="Arial"/>
                <w:b w:val="0"/>
                <w:sz w:val="16"/>
              </w:rPr>
              <w:t>Technicien support informatique retraite complémentaire H/F</w:t>
            </w:r>
          </w:p>
        </w:tc>
        <w:tc>
          <w:tcPr>
            <w:tcW w:type="dxa" w:w="2664"/>
            <w:vAlign w:val="center"/>
          </w:tcPr>
          <w:p>
            <w:pPr>
              <w:spacing w:after="0" w:before="0"/>
            </w:pPr>
            <w:r>
              <w:rPr>
                <w:rFonts w:ascii="Arial" w:hAnsi="Arial"/>
              </w:rPr>
            </w:r>
            <w:r>
              <w:rPr>
                <w:rFonts w:ascii="Arial" w:hAnsi="Arial"/>
                <w:b w:val="0"/>
                <w:sz w:val="16"/>
              </w:rPr>
              <w:t>Marseille</w:t>
            </w:r>
          </w:p>
        </w:tc>
        <w:tc>
          <w:tcPr>
            <w:tcW w:type="dxa" w:w="2664"/>
            <w:vAlign w:val="center"/>
          </w:tcPr>
          <w:p>
            <w:pPr>
              <w:spacing w:after="0" w:before="0"/>
            </w:pPr>
            <w:r>
              <w:rPr>
                <w:rFonts w:ascii="Arial" w:hAnsi="Arial"/>
              </w:rPr>
            </w:r>
            <w:r>
              <w:rPr>
                <w:rFonts w:ascii="Arial" w:hAnsi="Arial"/>
                <w:b w:val="0"/>
                <w:sz w:val="16"/>
              </w:rPr>
              <w:t>Support applicatif retraite</w:t>
            </w:r>
          </w:p>
        </w:tc>
        <w:tc>
          <w:tcPr>
            <w:tcW w:type="dxa" w:w="2664"/>
            <w:vAlign w:val="center"/>
          </w:tcPr>
          <w:p>
            <w:pPr>
              <w:spacing w:after="0" w:before="0"/>
            </w:pPr>
            <w:r>
              <w:rPr>
                <w:rFonts w:ascii="Arial" w:hAnsi="Arial"/>
              </w:rPr>
            </w:r>
            <w:r>
              <w:rPr>
                <w:rFonts w:ascii="Arial" w:hAnsi="Arial"/>
                <w:b w:val="0"/>
                <w:sz w:val="16"/>
              </w:rPr>
              <w:t>Besoin opérationnel sur support SI retraite complémentaire.</w:t>
            </w:r>
          </w:p>
        </w:tc>
      </w:tr>
      <w:tr>
        <w:tc>
          <w:tcPr>
            <w:tcW w:type="dxa" w:w="2664"/>
            <w:vAlign w:val="center"/>
          </w:tcPr>
          <w:p>
            <w:pPr>
              <w:spacing w:after="0" w:before="0"/>
            </w:pPr>
            <w:r>
              <w:rPr>
                <w:rFonts w:ascii="Arial" w:hAnsi="Arial"/>
              </w:rPr>
            </w:r>
            <w:r>
              <w:rPr>
                <w:rFonts w:ascii="Arial" w:hAnsi="Arial"/>
                <w:b w:val="0"/>
                <w:sz w:val="16"/>
              </w:rPr>
              <w:t>Chef de projet MOA EPM H/F</w:t>
            </w:r>
          </w:p>
        </w:tc>
        <w:tc>
          <w:tcPr>
            <w:tcW w:type="dxa" w:w="2664"/>
            <w:vAlign w:val="center"/>
          </w:tcPr>
          <w:p>
            <w:pPr>
              <w:spacing w:after="0" w:before="0"/>
            </w:pPr>
            <w:r>
              <w:rPr>
                <w:rFonts w:ascii="Arial" w:hAnsi="Arial"/>
              </w:rPr>
            </w:r>
            <w:r>
              <w:rPr>
                <w:rFonts w:ascii="Arial" w:hAnsi="Arial"/>
                <w:b w:val="0"/>
                <w:sz w:val="16"/>
              </w:rPr>
              <w:t>Levallois-Perret</w:t>
            </w:r>
          </w:p>
        </w:tc>
        <w:tc>
          <w:tcPr>
            <w:tcW w:type="dxa" w:w="2664"/>
            <w:vAlign w:val="center"/>
          </w:tcPr>
          <w:p>
            <w:pPr>
              <w:spacing w:after="0" w:before="0"/>
            </w:pPr>
            <w:r>
              <w:rPr>
                <w:rFonts w:ascii="Arial" w:hAnsi="Arial"/>
              </w:rPr>
            </w:r>
            <w:r>
              <w:rPr>
                <w:rFonts w:ascii="Arial" w:hAnsi="Arial"/>
                <w:b w:val="0"/>
                <w:sz w:val="16"/>
              </w:rPr>
              <w:t>MOA finance / reporting</w:t>
            </w:r>
          </w:p>
        </w:tc>
        <w:tc>
          <w:tcPr>
            <w:tcW w:type="dxa" w:w="2664"/>
            <w:vAlign w:val="center"/>
          </w:tcPr>
          <w:p>
            <w:pPr>
              <w:spacing w:after="0" w:before="0"/>
            </w:pPr>
            <w:r>
              <w:rPr>
                <w:rFonts w:ascii="Arial" w:hAnsi="Arial"/>
              </w:rPr>
            </w:r>
            <w:r>
              <w:rPr>
                <w:rFonts w:ascii="Arial" w:hAnsi="Arial"/>
                <w:b w:val="0"/>
                <w:sz w:val="16"/>
              </w:rPr>
              <w:t>Besoin MOA sur pilotage intégré et reporting finance/risques.</w:t>
            </w:r>
          </w:p>
        </w:tc>
      </w:tr>
      <w:tr>
        <w:tc>
          <w:tcPr>
            <w:tcW w:type="dxa" w:w="2664"/>
            <w:vAlign w:val="center"/>
          </w:tcPr>
          <w:p>
            <w:pPr>
              <w:spacing w:after="0" w:before="0"/>
            </w:pPr>
            <w:r>
              <w:rPr>
                <w:rFonts w:ascii="Arial" w:hAnsi="Arial"/>
              </w:rPr>
            </w:r>
            <w:r>
              <w:rPr>
                <w:rFonts w:ascii="Arial" w:hAnsi="Arial"/>
                <w:b w:val="0"/>
                <w:sz w:val="16"/>
              </w:rPr>
              <w:t>Alternant Data Analyst F/H</w:t>
            </w:r>
          </w:p>
        </w:tc>
        <w:tc>
          <w:tcPr>
            <w:tcW w:type="dxa" w:w="2664"/>
            <w:vAlign w:val="center"/>
          </w:tcPr>
          <w:p>
            <w:pPr>
              <w:spacing w:after="0" w:before="0"/>
            </w:pPr>
            <w:r>
              <w:rPr>
                <w:rFonts w:ascii="Arial" w:hAnsi="Arial"/>
              </w:rPr>
            </w:r>
            <w:r>
              <w:rPr>
                <w:rFonts w:ascii="Arial" w:hAnsi="Arial"/>
                <w:b w:val="0"/>
                <w:sz w:val="16"/>
              </w:rPr>
              <w:t>Mons-en-Baroeul</w:t>
            </w:r>
          </w:p>
        </w:tc>
        <w:tc>
          <w:tcPr>
            <w:tcW w:type="dxa" w:w="2664"/>
            <w:vAlign w:val="center"/>
          </w:tcPr>
          <w:p>
            <w:pPr>
              <w:spacing w:after="0" w:before="0"/>
            </w:pPr>
            <w:r>
              <w:rPr>
                <w:rFonts w:ascii="Arial" w:hAnsi="Arial"/>
              </w:rPr>
            </w:r>
            <w:r>
              <w:rPr>
                <w:rFonts w:ascii="Arial" w:hAnsi="Arial"/>
                <w:b w:val="0"/>
                <w:sz w:val="16"/>
              </w:rPr>
              <w:t>Data</w:t>
            </w:r>
          </w:p>
        </w:tc>
        <w:tc>
          <w:tcPr>
            <w:tcW w:type="dxa" w:w="2664"/>
            <w:vAlign w:val="center"/>
          </w:tcPr>
          <w:p>
            <w:pPr>
              <w:spacing w:after="0" w:before="0"/>
            </w:pPr>
            <w:r>
              <w:rPr>
                <w:rFonts w:ascii="Arial" w:hAnsi="Arial"/>
              </w:rPr>
            </w:r>
            <w:r>
              <w:rPr>
                <w:rFonts w:ascii="Arial" w:hAnsi="Arial"/>
                <w:b w:val="0"/>
                <w:sz w:val="16"/>
              </w:rPr>
              <w:t>Signal de renforcement data et reporting.</w:t>
            </w:r>
          </w:p>
        </w:tc>
      </w:tr>
      <w:tr>
        <w:tc>
          <w:tcPr>
            <w:tcW w:type="dxa" w:w="2664"/>
            <w:vAlign w:val="center"/>
          </w:tcPr>
          <w:p>
            <w:pPr>
              <w:spacing w:after="0" w:before="0"/>
            </w:pPr>
            <w:r>
              <w:rPr>
                <w:rFonts w:ascii="Arial" w:hAnsi="Arial"/>
              </w:rPr>
            </w:r>
            <w:r>
              <w:rPr>
                <w:rFonts w:ascii="Arial" w:hAnsi="Arial"/>
                <w:b w:val="0"/>
                <w:sz w:val="16"/>
              </w:rPr>
              <w:t>Expert applications métiers F/H - VIASANTÉ</w:t>
            </w:r>
          </w:p>
        </w:tc>
        <w:tc>
          <w:tcPr>
            <w:tcW w:type="dxa" w:w="2664"/>
            <w:vAlign w:val="center"/>
          </w:tcPr>
          <w:p>
            <w:pPr>
              <w:spacing w:after="0" w:before="0"/>
            </w:pPr>
            <w:r>
              <w:rPr>
                <w:rFonts w:ascii="Arial" w:hAnsi="Arial"/>
              </w:rPr>
            </w:r>
            <w:r>
              <w:rPr>
                <w:rFonts w:ascii="Arial" w:hAnsi="Arial"/>
                <w:b w:val="0"/>
                <w:sz w:val="16"/>
              </w:rPr>
              <w:t>Perpignan</w:t>
            </w:r>
          </w:p>
        </w:tc>
        <w:tc>
          <w:tcPr>
            <w:tcW w:type="dxa" w:w="2664"/>
            <w:vAlign w:val="center"/>
          </w:tcPr>
          <w:p>
            <w:pPr>
              <w:spacing w:after="0" w:before="0"/>
            </w:pPr>
            <w:r>
              <w:rPr>
                <w:rFonts w:ascii="Arial" w:hAnsi="Arial"/>
              </w:rPr>
            </w:r>
            <w:r>
              <w:rPr>
                <w:rFonts w:ascii="Arial" w:hAnsi="Arial"/>
                <w:b w:val="0"/>
                <w:sz w:val="16"/>
              </w:rPr>
              <w:t>Applications métiers</w:t>
            </w:r>
          </w:p>
        </w:tc>
        <w:tc>
          <w:tcPr>
            <w:tcW w:type="dxa" w:w="2664"/>
            <w:vAlign w:val="center"/>
          </w:tcPr>
          <w:p>
            <w:pPr>
              <w:spacing w:after="0" w:before="0"/>
            </w:pPr>
            <w:r>
              <w:rPr>
                <w:rFonts w:ascii="Arial" w:hAnsi="Arial"/>
              </w:rPr>
            </w:r>
            <w:r>
              <w:rPr>
                <w:rFonts w:ascii="Arial" w:hAnsi="Arial"/>
                <w:b w:val="0"/>
                <w:sz w:val="16"/>
              </w:rPr>
              <w:t>Signal d’expertise applicative sur filiale du groupe.</w:t>
            </w:r>
          </w:p>
        </w:tc>
      </w:tr>
    </w:tbl>
    <w:p>
      <w:pPr>
        <w:pStyle w:val="Heading1"/>
      </w:pPr>
      <w:r>
        <w:t>7. Positionnement Tilencia / Fastor à pousser</w:t>
      </w:r>
    </w:p>
    <w:p>
      <w:r>
        <w:rPr>
          <w:b/>
        </w:rPr>
        <w:t xml:space="preserve">Preuve métier protection sociale : </w:t>
      </w:r>
      <w:r>
        <w:t>Mettre en avant les références et profils exposés AGIRC-ARRCO, retraite complémentaire, DSN, GCE, GRECCO, recette et suivi de production métier.</w:t>
      </w:r>
    </w:p>
    <w:p>
      <w:r>
        <w:rPr>
          <w:b/>
        </w:rPr>
        <w:t xml:space="preserve">Double lecture IT et métiers : </w:t>
      </w:r>
      <w:r>
        <w:t>Éviter un discours ESN générique. Relier chaque profil à un irritant métier : support retraite, parcours client, sécurité réglementaire, industrialisation data, production applicative.</w:t>
      </w:r>
    </w:p>
    <w:p>
      <w:r>
        <w:rPr>
          <w:b/>
        </w:rPr>
        <w:t xml:space="preserve">Vivier qualifié plutôt que CV opportunistes : </w:t>
      </w:r>
      <w:r>
        <w:t>Arriver avec 5 profils types anonymisés immédiatement présentables : AMOA retraite/DSN, PO Salesforce, data/IA, cyber/GRC, Java/DevOps.</w:t>
      </w:r>
    </w:p>
    <w:p>
      <w:r>
        <w:rPr>
          <w:b/>
        </w:rPr>
        <w:t xml:space="preserve">Approche compte et non réponse AO : </w:t>
      </w:r>
      <w:r>
        <w:t>L’objectif sur 30 jours est de créer des contacts directs, puis de capter les besoins avant publication ou avant mise en concurrence large.</w:t>
      </w:r>
    </w:p>
    <w:p>
      <w:r>
        <w:br w:type="page"/>
      </w:r>
    </w:p>
    <w:p>
      <w:pPr>
        <w:pStyle w:val="Heading1"/>
      </w:pPr>
      <w:r>
        <w:t>8. Plan d’action sur 1 mois à partir du 09/07/2026</w:t>
      </w:r>
    </w:p>
    <w:tbl>
      <w:tblPr>
        <w:tblStyle w:val="TableGrid"/>
        <w:tblW w:type="auto" w:w="0"/>
        <w:jc w:val="center"/>
        <w:tblLook w:firstColumn="1" w:firstRow="1" w:lastColumn="0" w:lastRow="0" w:noHBand="0" w:noVBand="1" w:val="04A0"/>
      </w:tblPr>
      <w:tblGrid>
        <w:gridCol w:w="2664"/>
        <w:gridCol w:w="2664"/>
        <w:gridCol w:w="2664"/>
        <w:gridCol w:w="2664"/>
      </w:tblGrid>
      <w:tr>
        <w:trPr>
          <w:tblHeader w:val="true"/>
        </w:trPr>
        <w:tc>
          <w:tcPr>
            <w:tcW w:type="dxa" w:w="2664"/>
            <w:vAlign w:val="center"/>
            <w:shd w:fill="6F2082"/>
          </w:tcPr>
          <w:p>
            <w:pPr>
              <w:spacing w:after="0" w:before="0"/>
            </w:pPr>
            <w:r>
              <w:rPr>
                <w:rFonts w:ascii="Arial" w:hAnsi="Arial"/>
              </w:rPr>
            </w:r>
            <w:r>
              <w:rPr>
                <w:rFonts w:ascii="Arial" w:hAnsi="Arial"/>
                <w:b/>
                <w:color w:val="FFFFFF"/>
                <w:sz w:val="16"/>
              </w:rPr>
              <w:t>Période</w:t>
            </w:r>
          </w:p>
        </w:tc>
        <w:tc>
          <w:tcPr>
            <w:tcW w:type="dxa" w:w="2664"/>
            <w:vAlign w:val="center"/>
            <w:shd w:fill="6F2082"/>
          </w:tcPr>
          <w:p>
            <w:pPr>
              <w:spacing w:after="0" w:before="0"/>
            </w:pPr>
            <w:r>
              <w:rPr>
                <w:rFonts w:ascii="Arial" w:hAnsi="Arial"/>
              </w:rPr>
            </w:r>
            <w:r>
              <w:rPr>
                <w:rFonts w:ascii="Arial" w:hAnsi="Arial"/>
                <w:b/>
                <w:color w:val="FFFFFF"/>
                <w:sz w:val="16"/>
              </w:rPr>
              <w:t>Action</w:t>
            </w:r>
          </w:p>
        </w:tc>
        <w:tc>
          <w:tcPr>
            <w:tcW w:type="dxa" w:w="2664"/>
            <w:vAlign w:val="center"/>
            <w:shd w:fill="6F2082"/>
          </w:tcPr>
          <w:p>
            <w:pPr>
              <w:spacing w:after="0" w:before="0"/>
            </w:pPr>
            <w:r>
              <w:rPr>
                <w:rFonts w:ascii="Arial" w:hAnsi="Arial"/>
              </w:rPr>
            </w:r>
            <w:r>
              <w:rPr>
                <w:rFonts w:ascii="Arial" w:hAnsi="Arial"/>
                <w:b/>
                <w:color w:val="FFFFFF"/>
                <w:sz w:val="16"/>
              </w:rPr>
              <w:t>Détail</w:t>
            </w:r>
          </w:p>
        </w:tc>
        <w:tc>
          <w:tcPr>
            <w:tcW w:type="dxa" w:w="2664"/>
            <w:vAlign w:val="center"/>
            <w:shd w:fill="6F2082"/>
          </w:tcPr>
          <w:p>
            <w:pPr>
              <w:spacing w:after="0" w:before="0"/>
            </w:pPr>
            <w:r>
              <w:rPr>
                <w:rFonts w:ascii="Arial" w:hAnsi="Arial"/>
              </w:rPr>
            </w:r>
            <w:r>
              <w:rPr>
                <w:rFonts w:ascii="Arial" w:hAnsi="Arial"/>
                <w:b/>
                <w:color w:val="FFFFFF"/>
                <w:sz w:val="16"/>
              </w:rPr>
              <w:t>Résultat attendu</w:t>
            </w:r>
          </w:p>
        </w:tc>
      </w:tr>
      <w:tr>
        <w:tc>
          <w:tcPr>
            <w:tcW w:type="dxa" w:w="2664"/>
            <w:vAlign w:val="center"/>
          </w:tcPr>
          <w:p>
            <w:pPr>
              <w:spacing w:after="0" w:before="0"/>
            </w:pPr>
            <w:r>
              <w:rPr>
                <w:rFonts w:ascii="Arial" w:hAnsi="Arial"/>
              </w:rPr>
            </w:r>
            <w:r>
              <w:rPr>
                <w:rFonts w:ascii="Arial" w:hAnsi="Arial"/>
                <w:b w:val="0"/>
                <w:sz w:val="16"/>
              </w:rPr>
              <w:t>J0 - 09/07</w:t>
            </w:r>
          </w:p>
        </w:tc>
        <w:tc>
          <w:tcPr>
            <w:tcW w:type="dxa" w:w="2664"/>
            <w:vAlign w:val="center"/>
          </w:tcPr>
          <w:p>
            <w:pPr>
              <w:spacing w:after="0" w:before="0"/>
            </w:pPr>
            <w:r>
              <w:rPr>
                <w:rFonts w:ascii="Arial" w:hAnsi="Arial"/>
              </w:rPr>
            </w:r>
            <w:r>
              <w:rPr>
                <w:rFonts w:ascii="Arial" w:hAnsi="Arial"/>
                <w:b w:val="0"/>
                <w:sz w:val="16"/>
              </w:rPr>
              <w:t>Préparation ciblage</w:t>
            </w:r>
          </w:p>
        </w:tc>
        <w:tc>
          <w:tcPr>
            <w:tcW w:type="dxa" w:w="2664"/>
            <w:vAlign w:val="center"/>
          </w:tcPr>
          <w:p>
            <w:pPr>
              <w:spacing w:after="0" w:before="0"/>
            </w:pPr>
            <w:r>
              <w:rPr>
                <w:rFonts w:ascii="Arial" w:hAnsi="Arial"/>
              </w:rPr>
            </w:r>
            <w:r>
              <w:rPr>
                <w:rFonts w:ascii="Arial" w:hAnsi="Arial"/>
                <w:b w:val="0"/>
                <w:sz w:val="16"/>
              </w:rPr>
              <w:t>Finaliser la short-list P1, préparer 3 messages par angle : SI/digital, data/IA, cyber, retraite.</w:t>
            </w:r>
          </w:p>
        </w:tc>
        <w:tc>
          <w:tcPr>
            <w:tcW w:type="dxa" w:w="2664"/>
            <w:vAlign w:val="center"/>
          </w:tcPr>
          <w:p>
            <w:pPr>
              <w:spacing w:after="0" w:before="0"/>
            </w:pPr>
            <w:r>
              <w:rPr>
                <w:rFonts w:ascii="Arial" w:hAnsi="Arial"/>
              </w:rPr>
            </w:r>
            <w:r>
              <w:rPr>
                <w:rFonts w:ascii="Arial" w:hAnsi="Arial"/>
                <w:b w:val="0"/>
                <w:sz w:val="16"/>
              </w:rPr>
              <w:t>Objectif : 15 contacts prioritaires qualifiés.</w:t>
            </w:r>
          </w:p>
        </w:tc>
      </w:tr>
      <w:tr>
        <w:tc>
          <w:tcPr>
            <w:tcW w:type="dxa" w:w="2664"/>
            <w:vAlign w:val="center"/>
          </w:tcPr>
          <w:p>
            <w:pPr>
              <w:spacing w:after="0" w:before="0"/>
            </w:pPr>
            <w:r>
              <w:rPr>
                <w:rFonts w:ascii="Arial" w:hAnsi="Arial"/>
              </w:rPr>
            </w:r>
            <w:r>
              <w:rPr>
                <w:rFonts w:ascii="Arial" w:hAnsi="Arial"/>
                <w:b w:val="0"/>
                <w:sz w:val="16"/>
              </w:rPr>
              <w:t>J1-J2</w:t>
            </w:r>
          </w:p>
        </w:tc>
        <w:tc>
          <w:tcPr>
            <w:tcW w:type="dxa" w:w="2664"/>
            <w:vAlign w:val="center"/>
          </w:tcPr>
          <w:p>
            <w:pPr>
              <w:spacing w:after="0" w:before="0"/>
            </w:pPr>
            <w:r>
              <w:rPr>
                <w:rFonts w:ascii="Arial" w:hAnsi="Arial"/>
              </w:rPr>
            </w:r>
            <w:r>
              <w:rPr>
                <w:rFonts w:ascii="Arial" w:hAnsi="Arial"/>
                <w:b w:val="0"/>
                <w:sz w:val="16"/>
              </w:rPr>
              <w:t>Connexion LinkedIn</w:t>
            </w:r>
          </w:p>
        </w:tc>
        <w:tc>
          <w:tcPr>
            <w:tcW w:type="dxa" w:w="2664"/>
            <w:vAlign w:val="center"/>
          </w:tcPr>
          <w:p>
            <w:pPr>
              <w:spacing w:after="0" w:before="0"/>
            </w:pPr>
            <w:r>
              <w:rPr>
                <w:rFonts w:ascii="Arial" w:hAnsi="Arial"/>
              </w:rPr>
            </w:r>
            <w:r>
              <w:rPr>
                <w:rFonts w:ascii="Arial" w:hAnsi="Arial"/>
                <w:b w:val="0"/>
                <w:sz w:val="16"/>
              </w:rPr>
              <w:t>Envoyer invitations personnalisées aux P1 avec accroche très courte, non commerciale.</w:t>
            </w:r>
          </w:p>
        </w:tc>
        <w:tc>
          <w:tcPr>
            <w:tcW w:type="dxa" w:w="2664"/>
            <w:vAlign w:val="center"/>
          </w:tcPr>
          <w:p>
            <w:pPr>
              <w:spacing w:after="0" w:before="0"/>
            </w:pPr>
            <w:r>
              <w:rPr>
                <w:rFonts w:ascii="Arial" w:hAnsi="Arial"/>
              </w:rPr>
            </w:r>
            <w:r>
              <w:rPr>
                <w:rFonts w:ascii="Arial" w:hAnsi="Arial"/>
                <w:b w:val="0"/>
                <w:sz w:val="16"/>
              </w:rPr>
              <w:t>Taux d’acceptation attendu : 25-35 %.</w:t>
            </w:r>
          </w:p>
        </w:tc>
      </w:tr>
      <w:tr>
        <w:tc>
          <w:tcPr>
            <w:tcW w:type="dxa" w:w="2664"/>
            <w:vAlign w:val="center"/>
          </w:tcPr>
          <w:p>
            <w:pPr>
              <w:spacing w:after="0" w:before="0"/>
            </w:pPr>
            <w:r>
              <w:rPr>
                <w:rFonts w:ascii="Arial" w:hAnsi="Arial"/>
              </w:rPr>
            </w:r>
            <w:r>
              <w:rPr>
                <w:rFonts w:ascii="Arial" w:hAnsi="Arial"/>
                <w:b w:val="0"/>
                <w:sz w:val="16"/>
              </w:rPr>
              <w:t>J2-J4</w:t>
            </w:r>
          </w:p>
        </w:tc>
        <w:tc>
          <w:tcPr>
            <w:tcW w:type="dxa" w:w="2664"/>
            <w:vAlign w:val="center"/>
          </w:tcPr>
          <w:p>
            <w:pPr>
              <w:spacing w:after="0" w:before="0"/>
            </w:pPr>
            <w:r>
              <w:rPr>
                <w:rFonts w:ascii="Arial" w:hAnsi="Arial"/>
              </w:rPr>
            </w:r>
            <w:r>
              <w:rPr>
                <w:rFonts w:ascii="Arial" w:hAnsi="Arial"/>
                <w:b w:val="0"/>
                <w:sz w:val="16"/>
              </w:rPr>
              <w:t>Email direct</w:t>
            </w:r>
          </w:p>
        </w:tc>
        <w:tc>
          <w:tcPr>
            <w:tcW w:type="dxa" w:w="2664"/>
            <w:vAlign w:val="center"/>
          </w:tcPr>
          <w:p>
            <w:pPr>
              <w:spacing w:after="0" w:before="0"/>
            </w:pPr>
            <w:r>
              <w:rPr>
                <w:rFonts w:ascii="Arial" w:hAnsi="Arial"/>
              </w:rPr>
            </w:r>
            <w:r>
              <w:rPr>
                <w:rFonts w:ascii="Arial" w:hAnsi="Arial"/>
                <w:b w:val="0"/>
                <w:sz w:val="16"/>
              </w:rPr>
              <w:t>Envoyer emails courts aux P1 avec proposition de vivier ciblé et rendez-vous 20 minutes.</w:t>
            </w:r>
          </w:p>
        </w:tc>
        <w:tc>
          <w:tcPr>
            <w:tcW w:type="dxa" w:w="2664"/>
            <w:vAlign w:val="center"/>
          </w:tcPr>
          <w:p>
            <w:pPr>
              <w:spacing w:after="0" w:before="0"/>
            </w:pPr>
            <w:r>
              <w:rPr>
                <w:rFonts w:ascii="Arial" w:hAnsi="Arial"/>
              </w:rPr>
            </w:r>
            <w:r>
              <w:rPr>
                <w:rFonts w:ascii="Arial" w:hAnsi="Arial"/>
                <w:b w:val="0"/>
                <w:sz w:val="16"/>
              </w:rPr>
              <w:t>Objectif : 2 à 3 retours.</w:t>
            </w:r>
          </w:p>
        </w:tc>
      </w:tr>
      <w:tr>
        <w:tc>
          <w:tcPr>
            <w:tcW w:type="dxa" w:w="2664"/>
            <w:vAlign w:val="center"/>
          </w:tcPr>
          <w:p>
            <w:pPr>
              <w:spacing w:after="0" w:before="0"/>
            </w:pPr>
            <w:r>
              <w:rPr>
                <w:rFonts w:ascii="Arial" w:hAnsi="Arial"/>
              </w:rPr>
            </w:r>
            <w:r>
              <w:rPr>
                <w:rFonts w:ascii="Arial" w:hAnsi="Arial"/>
                <w:b w:val="0"/>
                <w:sz w:val="16"/>
              </w:rPr>
              <w:t>Semaine 1</w:t>
            </w:r>
          </w:p>
        </w:tc>
        <w:tc>
          <w:tcPr>
            <w:tcW w:type="dxa" w:w="2664"/>
            <w:vAlign w:val="center"/>
          </w:tcPr>
          <w:p>
            <w:pPr>
              <w:spacing w:after="0" w:before="0"/>
            </w:pPr>
            <w:r>
              <w:rPr>
                <w:rFonts w:ascii="Arial" w:hAnsi="Arial"/>
              </w:rPr>
            </w:r>
            <w:r>
              <w:rPr>
                <w:rFonts w:ascii="Arial" w:hAnsi="Arial"/>
                <w:b w:val="0"/>
                <w:sz w:val="16"/>
              </w:rPr>
              <w:t>Relance téléphonique standard</w:t>
            </w:r>
          </w:p>
        </w:tc>
        <w:tc>
          <w:tcPr>
            <w:tcW w:type="dxa" w:w="2664"/>
            <w:vAlign w:val="center"/>
          </w:tcPr>
          <w:p>
            <w:pPr>
              <w:spacing w:after="0" w:before="0"/>
            </w:pPr>
            <w:r>
              <w:rPr>
                <w:rFonts w:ascii="Arial" w:hAnsi="Arial"/>
              </w:rPr>
            </w:r>
            <w:r>
              <w:rPr>
                <w:rFonts w:ascii="Arial" w:hAnsi="Arial"/>
                <w:b w:val="0"/>
                <w:sz w:val="16"/>
              </w:rPr>
              <w:t>Appeler le standard / siège et demander les assistantes ou directions concernées.</w:t>
            </w:r>
          </w:p>
        </w:tc>
        <w:tc>
          <w:tcPr>
            <w:tcW w:type="dxa" w:w="2664"/>
            <w:vAlign w:val="center"/>
          </w:tcPr>
          <w:p>
            <w:pPr>
              <w:spacing w:after="0" w:before="0"/>
            </w:pPr>
            <w:r>
              <w:rPr>
                <w:rFonts w:ascii="Arial" w:hAnsi="Arial"/>
              </w:rPr>
            </w:r>
            <w:r>
              <w:rPr>
                <w:rFonts w:ascii="Arial" w:hAnsi="Arial"/>
                <w:b w:val="0"/>
                <w:sz w:val="16"/>
              </w:rPr>
              <w:t>Qualifier les circuits d’entrée AG2R.</w:t>
            </w:r>
          </w:p>
        </w:tc>
      </w:tr>
      <w:tr>
        <w:tc>
          <w:tcPr>
            <w:tcW w:type="dxa" w:w="2664"/>
            <w:vAlign w:val="center"/>
          </w:tcPr>
          <w:p>
            <w:pPr>
              <w:spacing w:after="0" w:before="0"/>
            </w:pPr>
            <w:r>
              <w:rPr>
                <w:rFonts w:ascii="Arial" w:hAnsi="Arial"/>
              </w:rPr>
            </w:r>
            <w:r>
              <w:rPr>
                <w:rFonts w:ascii="Arial" w:hAnsi="Arial"/>
                <w:b w:val="0"/>
                <w:sz w:val="16"/>
              </w:rPr>
              <w:t>Semaine 1</w:t>
            </w:r>
          </w:p>
        </w:tc>
        <w:tc>
          <w:tcPr>
            <w:tcW w:type="dxa" w:w="2664"/>
            <w:vAlign w:val="center"/>
          </w:tcPr>
          <w:p>
            <w:pPr>
              <w:spacing w:after="0" w:before="0"/>
            </w:pPr>
            <w:r>
              <w:rPr>
                <w:rFonts w:ascii="Arial" w:hAnsi="Arial"/>
              </w:rPr>
            </w:r>
            <w:r>
              <w:rPr>
                <w:rFonts w:ascii="Arial" w:hAnsi="Arial"/>
                <w:b w:val="0"/>
                <w:sz w:val="16"/>
              </w:rPr>
              <w:t>Activation réseau Fastor</w:t>
            </w:r>
          </w:p>
        </w:tc>
        <w:tc>
          <w:tcPr>
            <w:tcW w:type="dxa" w:w="2664"/>
            <w:vAlign w:val="center"/>
          </w:tcPr>
          <w:p>
            <w:pPr>
              <w:spacing w:after="0" w:before="0"/>
            </w:pPr>
            <w:r>
              <w:rPr>
                <w:rFonts w:ascii="Arial" w:hAnsi="Arial"/>
              </w:rPr>
            </w:r>
            <w:r>
              <w:rPr>
                <w:rFonts w:ascii="Arial" w:hAnsi="Arial"/>
                <w:b w:val="0"/>
                <w:sz w:val="16"/>
              </w:rPr>
              <w:t>Utiliser les références AGIRC-ARRCO, protection sociale, DSN, GCE et retraite pour crédibiliser l’approche.</w:t>
            </w:r>
          </w:p>
        </w:tc>
        <w:tc>
          <w:tcPr>
            <w:tcW w:type="dxa" w:w="2664"/>
            <w:vAlign w:val="center"/>
          </w:tcPr>
          <w:p>
            <w:pPr>
              <w:spacing w:after="0" w:before="0"/>
            </w:pPr>
            <w:r>
              <w:rPr>
                <w:rFonts w:ascii="Arial" w:hAnsi="Arial"/>
              </w:rPr>
            </w:r>
            <w:r>
              <w:rPr>
                <w:rFonts w:ascii="Arial" w:hAnsi="Arial"/>
                <w:b w:val="0"/>
                <w:sz w:val="16"/>
              </w:rPr>
              <w:t>Créer une preuve concrète de pertinence.</w:t>
            </w:r>
          </w:p>
        </w:tc>
      </w:tr>
      <w:tr>
        <w:tc>
          <w:tcPr>
            <w:tcW w:type="dxa" w:w="2664"/>
            <w:vAlign w:val="center"/>
          </w:tcPr>
          <w:p>
            <w:pPr>
              <w:spacing w:after="0" w:before="0"/>
            </w:pPr>
            <w:r>
              <w:rPr>
                <w:rFonts w:ascii="Arial" w:hAnsi="Arial"/>
              </w:rPr>
            </w:r>
            <w:r>
              <w:rPr>
                <w:rFonts w:ascii="Arial" w:hAnsi="Arial"/>
                <w:b w:val="0"/>
                <w:sz w:val="16"/>
              </w:rPr>
              <w:t>Semaine 2</w:t>
            </w:r>
          </w:p>
        </w:tc>
        <w:tc>
          <w:tcPr>
            <w:tcW w:type="dxa" w:w="2664"/>
            <w:vAlign w:val="center"/>
          </w:tcPr>
          <w:p>
            <w:pPr>
              <w:spacing w:after="0" w:before="0"/>
            </w:pPr>
            <w:r>
              <w:rPr>
                <w:rFonts w:ascii="Arial" w:hAnsi="Arial"/>
              </w:rPr>
            </w:r>
            <w:r>
              <w:rPr>
                <w:rFonts w:ascii="Arial" w:hAnsi="Arial"/>
                <w:b w:val="0"/>
                <w:sz w:val="16"/>
              </w:rPr>
              <w:t>Campagne métiers</w:t>
            </w:r>
          </w:p>
        </w:tc>
        <w:tc>
          <w:tcPr>
            <w:tcW w:type="dxa" w:w="2664"/>
            <w:vAlign w:val="center"/>
          </w:tcPr>
          <w:p>
            <w:pPr>
              <w:spacing w:after="0" w:before="0"/>
            </w:pPr>
            <w:r>
              <w:rPr>
                <w:rFonts w:ascii="Arial" w:hAnsi="Arial"/>
              </w:rPr>
            </w:r>
            <w:r>
              <w:rPr>
                <w:rFonts w:ascii="Arial" w:hAnsi="Arial"/>
                <w:b w:val="0"/>
                <w:sz w:val="16"/>
              </w:rPr>
              <w:t>Contacter retraite, santé/prévoyance, relation client et transformation.</w:t>
            </w:r>
          </w:p>
        </w:tc>
        <w:tc>
          <w:tcPr>
            <w:tcW w:type="dxa" w:w="2664"/>
            <w:vAlign w:val="center"/>
          </w:tcPr>
          <w:p>
            <w:pPr>
              <w:spacing w:after="0" w:before="0"/>
            </w:pPr>
            <w:r>
              <w:rPr>
                <w:rFonts w:ascii="Arial" w:hAnsi="Arial"/>
              </w:rPr>
            </w:r>
            <w:r>
              <w:rPr>
                <w:rFonts w:ascii="Arial" w:hAnsi="Arial"/>
                <w:b w:val="0"/>
                <w:sz w:val="16"/>
              </w:rPr>
              <w:t>Éviter de dépendre uniquement de la DSI.</w:t>
            </w:r>
          </w:p>
        </w:tc>
      </w:tr>
      <w:tr>
        <w:tc>
          <w:tcPr>
            <w:tcW w:type="dxa" w:w="2664"/>
            <w:vAlign w:val="center"/>
          </w:tcPr>
          <w:p>
            <w:pPr>
              <w:spacing w:after="0" w:before="0"/>
            </w:pPr>
            <w:r>
              <w:rPr>
                <w:rFonts w:ascii="Arial" w:hAnsi="Arial"/>
              </w:rPr>
            </w:r>
            <w:r>
              <w:rPr>
                <w:rFonts w:ascii="Arial" w:hAnsi="Arial"/>
                <w:b w:val="0"/>
                <w:sz w:val="16"/>
              </w:rPr>
              <w:t>Semaine 2</w:t>
            </w:r>
          </w:p>
        </w:tc>
        <w:tc>
          <w:tcPr>
            <w:tcW w:type="dxa" w:w="2664"/>
            <w:vAlign w:val="center"/>
          </w:tcPr>
          <w:p>
            <w:pPr>
              <w:spacing w:after="0" w:before="0"/>
            </w:pPr>
            <w:r>
              <w:rPr>
                <w:rFonts w:ascii="Arial" w:hAnsi="Arial"/>
              </w:rPr>
            </w:r>
            <w:r>
              <w:rPr>
                <w:rFonts w:ascii="Arial" w:hAnsi="Arial"/>
                <w:b w:val="0"/>
                <w:sz w:val="16"/>
              </w:rPr>
              <w:t>Vivier candidat</w:t>
            </w:r>
          </w:p>
        </w:tc>
        <w:tc>
          <w:tcPr>
            <w:tcW w:type="dxa" w:w="2664"/>
            <w:vAlign w:val="center"/>
          </w:tcPr>
          <w:p>
            <w:pPr>
              <w:spacing w:after="0" w:before="0"/>
            </w:pPr>
            <w:r>
              <w:rPr>
                <w:rFonts w:ascii="Arial" w:hAnsi="Arial"/>
              </w:rPr>
            </w:r>
            <w:r>
              <w:rPr>
                <w:rFonts w:ascii="Arial" w:hAnsi="Arial"/>
                <w:b w:val="0"/>
                <w:sz w:val="16"/>
              </w:rPr>
              <w:t>Préparer 5 profils types : AMOA retraite/DSN, PO Salesforce, data/IA, cyber/GRC, Java/DevOps.</w:t>
            </w:r>
          </w:p>
        </w:tc>
        <w:tc>
          <w:tcPr>
            <w:tcW w:type="dxa" w:w="2664"/>
            <w:vAlign w:val="center"/>
          </w:tcPr>
          <w:p>
            <w:pPr>
              <w:spacing w:after="0" w:before="0"/>
            </w:pPr>
            <w:r>
              <w:rPr>
                <w:rFonts w:ascii="Arial" w:hAnsi="Arial"/>
              </w:rPr>
            </w:r>
            <w:r>
              <w:rPr>
                <w:rFonts w:ascii="Arial" w:hAnsi="Arial"/>
                <w:b w:val="0"/>
                <w:sz w:val="16"/>
              </w:rPr>
              <w:t>Pouvoir envoyer une preuve sous 24h.</w:t>
            </w:r>
          </w:p>
        </w:tc>
      </w:tr>
      <w:tr>
        <w:tc>
          <w:tcPr>
            <w:tcW w:type="dxa" w:w="2664"/>
            <w:vAlign w:val="center"/>
          </w:tcPr>
          <w:p>
            <w:pPr>
              <w:spacing w:after="0" w:before="0"/>
            </w:pPr>
            <w:r>
              <w:rPr>
                <w:rFonts w:ascii="Arial" w:hAnsi="Arial"/>
              </w:rPr>
            </w:r>
            <w:r>
              <w:rPr>
                <w:rFonts w:ascii="Arial" w:hAnsi="Arial"/>
                <w:b w:val="0"/>
                <w:sz w:val="16"/>
              </w:rPr>
              <w:t>Semaine 3</w:t>
            </w:r>
          </w:p>
        </w:tc>
        <w:tc>
          <w:tcPr>
            <w:tcW w:type="dxa" w:w="2664"/>
            <w:vAlign w:val="center"/>
          </w:tcPr>
          <w:p>
            <w:pPr>
              <w:spacing w:after="0" w:before="0"/>
            </w:pPr>
            <w:r>
              <w:rPr>
                <w:rFonts w:ascii="Arial" w:hAnsi="Arial"/>
              </w:rPr>
            </w:r>
            <w:r>
              <w:rPr>
                <w:rFonts w:ascii="Arial" w:hAnsi="Arial"/>
                <w:b w:val="0"/>
                <w:sz w:val="16"/>
              </w:rPr>
              <w:t>Approche opérationnels P2</w:t>
            </w:r>
          </w:p>
        </w:tc>
        <w:tc>
          <w:tcPr>
            <w:tcW w:type="dxa" w:w="2664"/>
            <w:vAlign w:val="center"/>
          </w:tcPr>
          <w:p>
            <w:pPr>
              <w:spacing w:after="0" w:before="0"/>
            </w:pPr>
            <w:r>
              <w:rPr>
                <w:rFonts w:ascii="Arial" w:hAnsi="Arial"/>
              </w:rPr>
            </w:r>
            <w:r>
              <w:rPr>
                <w:rFonts w:ascii="Arial" w:hAnsi="Arial"/>
                <w:b w:val="0"/>
                <w:sz w:val="16"/>
              </w:rPr>
              <w:t>Contacter chefs de projet, architectes, production et managers IT.</w:t>
            </w:r>
          </w:p>
        </w:tc>
        <w:tc>
          <w:tcPr>
            <w:tcW w:type="dxa" w:w="2664"/>
            <w:vAlign w:val="center"/>
          </w:tcPr>
          <w:p>
            <w:pPr>
              <w:spacing w:after="0" w:before="0"/>
            </w:pPr>
            <w:r>
              <w:rPr>
                <w:rFonts w:ascii="Arial" w:hAnsi="Arial"/>
              </w:rPr>
            </w:r>
            <w:r>
              <w:rPr>
                <w:rFonts w:ascii="Arial" w:hAnsi="Arial"/>
                <w:b w:val="0"/>
                <w:sz w:val="16"/>
              </w:rPr>
              <w:t>Détecter des besoins concrets terrain.</w:t>
            </w:r>
          </w:p>
        </w:tc>
      </w:tr>
      <w:tr>
        <w:tc>
          <w:tcPr>
            <w:tcW w:type="dxa" w:w="2664"/>
            <w:vAlign w:val="center"/>
          </w:tcPr>
          <w:p>
            <w:pPr>
              <w:spacing w:after="0" w:before="0"/>
            </w:pPr>
            <w:r>
              <w:rPr>
                <w:rFonts w:ascii="Arial" w:hAnsi="Arial"/>
              </w:rPr>
            </w:r>
            <w:r>
              <w:rPr>
                <w:rFonts w:ascii="Arial" w:hAnsi="Arial"/>
                <w:b w:val="0"/>
                <w:sz w:val="16"/>
              </w:rPr>
              <w:t>Semaine 3</w:t>
            </w:r>
          </w:p>
        </w:tc>
        <w:tc>
          <w:tcPr>
            <w:tcW w:type="dxa" w:w="2664"/>
            <w:vAlign w:val="center"/>
          </w:tcPr>
          <w:p>
            <w:pPr>
              <w:spacing w:after="0" w:before="0"/>
            </w:pPr>
            <w:r>
              <w:rPr>
                <w:rFonts w:ascii="Arial" w:hAnsi="Arial"/>
              </w:rPr>
            </w:r>
            <w:r>
              <w:rPr>
                <w:rFonts w:ascii="Arial" w:hAnsi="Arial"/>
                <w:b w:val="0"/>
                <w:sz w:val="16"/>
              </w:rPr>
              <w:t>Proposition atelier</w:t>
            </w:r>
          </w:p>
        </w:tc>
        <w:tc>
          <w:tcPr>
            <w:tcW w:type="dxa" w:w="2664"/>
            <w:vAlign w:val="center"/>
          </w:tcPr>
          <w:p>
            <w:pPr>
              <w:spacing w:after="0" w:before="0"/>
            </w:pPr>
            <w:r>
              <w:rPr>
                <w:rFonts w:ascii="Arial" w:hAnsi="Arial"/>
              </w:rPr>
            </w:r>
            <w:r>
              <w:rPr>
                <w:rFonts w:ascii="Arial" w:hAnsi="Arial"/>
                <w:b w:val="0"/>
                <w:sz w:val="16"/>
              </w:rPr>
              <w:t>Proposer un atelier de 30 min : “où sécuriser vos renforts IT et métiers sur 2026”.</w:t>
            </w:r>
          </w:p>
        </w:tc>
        <w:tc>
          <w:tcPr>
            <w:tcW w:type="dxa" w:w="2664"/>
            <w:vAlign w:val="center"/>
          </w:tcPr>
          <w:p>
            <w:pPr>
              <w:spacing w:after="0" w:before="0"/>
            </w:pPr>
            <w:r>
              <w:rPr>
                <w:rFonts w:ascii="Arial" w:hAnsi="Arial"/>
              </w:rPr>
            </w:r>
            <w:r>
              <w:rPr>
                <w:rFonts w:ascii="Arial" w:hAnsi="Arial"/>
                <w:b w:val="0"/>
                <w:sz w:val="16"/>
              </w:rPr>
              <w:t>Obtenir un rendez-vous.</w:t>
            </w:r>
          </w:p>
        </w:tc>
      </w:tr>
      <w:tr>
        <w:tc>
          <w:tcPr>
            <w:tcW w:type="dxa" w:w="2664"/>
            <w:vAlign w:val="center"/>
          </w:tcPr>
          <w:p>
            <w:pPr>
              <w:spacing w:after="0" w:before="0"/>
            </w:pPr>
            <w:r>
              <w:rPr>
                <w:rFonts w:ascii="Arial" w:hAnsi="Arial"/>
              </w:rPr>
            </w:r>
            <w:r>
              <w:rPr>
                <w:rFonts w:ascii="Arial" w:hAnsi="Arial"/>
                <w:b w:val="0"/>
                <w:sz w:val="16"/>
              </w:rPr>
              <w:t>Semaine 4</w:t>
            </w:r>
          </w:p>
        </w:tc>
        <w:tc>
          <w:tcPr>
            <w:tcW w:type="dxa" w:w="2664"/>
            <w:vAlign w:val="center"/>
          </w:tcPr>
          <w:p>
            <w:pPr>
              <w:spacing w:after="0" w:before="0"/>
            </w:pPr>
            <w:r>
              <w:rPr>
                <w:rFonts w:ascii="Arial" w:hAnsi="Arial"/>
              </w:rPr>
            </w:r>
            <w:r>
              <w:rPr>
                <w:rFonts w:ascii="Arial" w:hAnsi="Arial"/>
                <w:b w:val="0"/>
                <w:sz w:val="16"/>
              </w:rPr>
              <w:t>Relance structurée</w:t>
            </w:r>
          </w:p>
        </w:tc>
        <w:tc>
          <w:tcPr>
            <w:tcW w:type="dxa" w:w="2664"/>
            <w:vAlign w:val="center"/>
          </w:tcPr>
          <w:p>
            <w:pPr>
              <w:spacing w:after="0" w:before="0"/>
            </w:pPr>
            <w:r>
              <w:rPr>
                <w:rFonts w:ascii="Arial" w:hAnsi="Arial"/>
              </w:rPr>
            </w:r>
            <w:r>
              <w:rPr>
                <w:rFonts w:ascii="Arial" w:hAnsi="Arial"/>
                <w:b w:val="0"/>
                <w:sz w:val="16"/>
              </w:rPr>
              <w:t>Envoyer une note synthèse par angle avec 2 profils anonymisés et sujets possibles.</w:t>
            </w:r>
          </w:p>
        </w:tc>
        <w:tc>
          <w:tcPr>
            <w:tcW w:type="dxa" w:w="2664"/>
            <w:vAlign w:val="center"/>
          </w:tcPr>
          <w:p>
            <w:pPr>
              <w:spacing w:after="0" w:before="0"/>
            </w:pPr>
            <w:r>
              <w:rPr>
                <w:rFonts w:ascii="Arial" w:hAnsi="Arial"/>
              </w:rPr>
            </w:r>
            <w:r>
              <w:rPr>
                <w:rFonts w:ascii="Arial" w:hAnsi="Arial"/>
                <w:b w:val="0"/>
                <w:sz w:val="16"/>
              </w:rPr>
              <w:t>Créer l’opportunité même sans AO ouvert.</w:t>
            </w:r>
          </w:p>
        </w:tc>
      </w:tr>
      <w:tr>
        <w:tc>
          <w:tcPr>
            <w:tcW w:type="dxa" w:w="2664"/>
            <w:vAlign w:val="center"/>
          </w:tcPr>
          <w:p>
            <w:pPr>
              <w:spacing w:after="0" w:before="0"/>
            </w:pPr>
            <w:r>
              <w:rPr>
                <w:rFonts w:ascii="Arial" w:hAnsi="Arial"/>
              </w:rPr>
            </w:r>
            <w:r>
              <w:rPr>
                <w:rFonts w:ascii="Arial" w:hAnsi="Arial"/>
                <w:b w:val="0"/>
                <w:sz w:val="16"/>
              </w:rPr>
              <w:t>J+30</w:t>
            </w:r>
          </w:p>
        </w:tc>
        <w:tc>
          <w:tcPr>
            <w:tcW w:type="dxa" w:w="2664"/>
            <w:vAlign w:val="center"/>
          </w:tcPr>
          <w:p>
            <w:pPr>
              <w:spacing w:after="0" w:before="0"/>
            </w:pPr>
            <w:r>
              <w:rPr>
                <w:rFonts w:ascii="Arial" w:hAnsi="Arial"/>
              </w:rPr>
            </w:r>
            <w:r>
              <w:rPr>
                <w:rFonts w:ascii="Arial" w:hAnsi="Arial"/>
                <w:b w:val="0"/>
                <w:sz w:val="16"/>
              </w:rPr>
              <w:t>Bilan commercial</w:t>
            </w:r>
          </w:p>
        </w:tc>
        <w:tc>
          <w:tcPr>
            <w:tcW w:type="dxa" w:w="2664"/>
            <w:vAlign w:val="center"/>
          </w:tcPr>
          <w:p>
            <w:pPr>
              <w:spacing w:after="0" w:before="0"/>
            </w:pPr>
            <w:r>
              <w:rPr>
                <w:rFonts w:ascii="Arial" w:hAnsi="Arial"/>
              </w:rPr>
            </w:r>
            <w:r>
              <w:rPr>
                <w:rFonts w:ascii="Arial" w:hAnsi="Arial"/>
                <w:b w:val="0"/>
                <w:sz w:val="16"/>
              </w:rPr>
              <w:t>Mesurer connexions, réponses, rendez-vous, besoins, prochaines relances.</w:t>
            </w:r>
          </w:p>
        </w:tc>
        <w:tc>
          <w:tcPr>
            <w:tcW w:type="dxa" w:w="2664"/>
            <w:vAlign w:val="center"/>
          </w:tcPr>
          <w:p>
            <w:pPr>
              <w:spacing w:after="0" w:before="0"/>
            </w:pPr>
            <w:r>
              <w:rPr>
                <w:rFonts w:ascii="Arial" w:hAnsi="Arial"/>
              </w:rPr>
            </w:r>
            <w:r>
              <w:rPr>
                <w:rFonts w:ascii="Arial" w:hAnsi="Arial"/>
                <w:b w:val="0"/>
                <w:sz w:val="16"/>
              </w:rPr>
              <w:t>Décider si compte à passer en chasse active permanente.</w:t>
            </w:r>
          </w:p>
        </w:tc>
      </w:tr>
    </w:tbl>
    <w:p>
      <w:pPr>
        <w:pStyle w:val="Heading1"/>
      </w:pPr>
      <w:r>
        <w:t>9. Messages d’approche prêts à adapter</w:t>
      </w:r>
    </w:p>
    <w:p>
      <w:r>
        <w:rPr>
          <w:b/>
        </w:rPr>
        <w:t>Pascal Martinez / Stéphane Lapierre</w:t>
      </w:r>
    </w:p>
    <w:p>
      <w:pPr>
        <w:ind w:left="288"/>
      </w:pPr>
      <w:r>
        <w:t>Objet : Renforts ciblés SI, digital et data AG2R</w:t>
        <w:br/>
        <w:t>Bonjour Monsieur, j’ai regardé les axes SI, digital et data d’AG2R ainsi que vos signaux de recrutement récents. Nous avons un vivier ciblé de profils data/IA, cyber, PO Salesforce, Java/DevOps et AMOA protection sociale. Je vous propose un échange de 20 minutes pour identifier les sujets sur lesquels un renfort rapide pourrait vous faire gagner du temps.</w:t>
      </w:r>
    </w:p>
    <w:p>
      <w:r>
        <w:rPr>
          <w:b/>
        </w:rPr>
        <w:t>Pierre-Emmanuel Le Parco</w:t>
      </w:r>
    </w:p>
    <w:p>
      <w:pPr>
        <w:ind w:left="288"/>
      </w:pPr>
      <w:r>
        <w:t>Objet : Vivier Data &amp; IA pour vos projets AG2R</w:t>
        <w:br/>
        <w:t>Bonjour Monsieur, vos enjeux Data &amp; IA appellent des profils capables de faire le lien entre cas d’usage métier, industrialisation, gouvernance des données et sécurité. Nous pouvons vous présenter des profils data engineer, product IA, MLOps et AMOA data habitués aux environnements grands comptes régulés.</w:t>
      </w:r>
    </w:p>
    <w:p>
      <w:r>
        <w:rPr>
          <w:b/>
        </w:rPr>
        <w:t>Xavier Migaud / Axel Bouchery</w:t>
      </w:r>
    </w:p>
    <w:p>
      <w:pPr>
        <w:ind w:left="288"/>
      </w:pPr>
      <w:r>
        <w:t>Objet : Renforts cyber ciblés AG2R</w:t>
        <w:br/>
        <w:t>Bonjour Monsieur, dans un contexte DORA, NIS2, GRC, IAM et sécurité cloud, je souhaitais vous proposer un échange court autour de profils cyber opérationnels déjà rompus aux environnements assurance, banque et protection sociale. Objectif : sécuriser rapidement vos besoins sans vous noyer sous des CV génériques.</w:t>
      </w:r>
    </w:p>
    <w:p>
      <w:r>
        <w:rPr>
          <w:b/>
        </w:rPr>
        <w:t>François Ringaud</w:t>
      </w:r>
    </w:p>
    <w:p>
      <w:pPr>
        <w:ind w:left="288"/>
      </w:pPr>
      <w:r>
        <w:t>Objet : Expertise AMOA retraite complémentaire / DSN</w:t>
        <w:br/>
        <w:t>Bonjour Monsieur, nous avons des profils AMOA senior déjà exposés à la retraite complémentaire, aux environnements AGIRC-ARRCO / IRC, à la DSN, GCE, GRECCO, RNE/RNA, recette et suivi de production métier. Je vous propose un échange court pour voir si ce vivier peut répondre à vos chantiers de transformation et de maintien opérationnel.</w:t>
      </w:r>
    </w:p>
    <w:p>
      <w:pPr>
        <w:pStyle w:val="Heading1"/>
      </w:pPr>
      <w:r>
        <w:t>10. Prochaines étapes immédiates</w:t>
      </w:r>
    </w:p>
    <w:p>
      <w:r>
        <w:rPr>
          <w:b/>
        </w:rPr>
        <w:t xml:space="preserve">• </w:t>
      </w:r>
      <w:r>
        <w:t>Utiliser le fichier Excel associé comme base de prospection et compléter au fil de l’eau les téléphones directs et statuts de réponse.</w:t>
      </w:r>
    </w:p>
    <w:p>
      <w:r>
        <w:rPr>
          <w:b/>
        </w:rPr>
        <w:t xml:space="preserve">• </w:t>
      </w:r>
      <w:r>
        <w:t>Lancer d’abord 15 contacts P1, puis élargir aux responsables de projets, production, architecture, MOA, data et cyber.</w:t>
      </w:r>
    </w:p>
    <w:p>
      <w:r>
        <w:rPr>
          <w:b/>
        </w:rPr>
        <w:t xml:space="preserve">• </w:t>
      </w:r>
      <w:r>
        <w:t>Préparer une mini-note de 1 page par angle : Data &amp; IA, Cyber, AMOA retraite, Salesforce/relation client, Production/DevOps.</w:t>
      </w:r>
    </w:p>
    <w:p>
      <w:r>
        <w:rPr>
          <w:b/>
        </w:rPr>
        <w:t xml:space="preserve">• </w:t>
      </w:r>
      <w:r>
        <w:t>Ne pas attendre un AO : l’enjeu est de créer le rendez-vous avant le besoin formel.</w:t>
      </w:r>
    </w:p>
    <w:p>
      <w:pPr>
        <w:pStyle w:val="Heading1"/>
      </w:pPr>
      <w:r>
        <w:t>Sources et limites</w:t>
      </w:r>
    </w:p>
    <w:p>
      <w:r>
        <w:rPr>
          <w:b/>
        </w:rPr>
        <w:t xml:space="preserve">Important : </w:t>
      </w:r>
      <w:r>
        <w:t>les adresses emails du fichier Excel sont générées selon une convention plausible du groupe et doivent être vérifiées avant campagne massive. Les téléphones directs n’ont pas été inventés ; lorsqu’ils n’étaient pas publiquement accessibles, le fichier indique le standard ou une mention à vérifier.</w:t>
      </w:r>
    </w:p>
    <w:tbl>
      <w:tblPr>
        <w:tblStyle w:val="TableGrid"/>
        <w:tblW w:type="auto" w:w="0"/>
        <w:jc w:val="center"/>
        <w:tblLook w:firstColumn="1" w:firstRow="1" w:lastColumn="0" w:lastRow="0" w:noHBand="0" w:noVBand="1" w:val="04A0"/>
      </w:tblPr>
      <w:tblGrid>
        <w:gridCol w:w="5328"/>
        <w:gridCol w:w="5328"/>
      </w:tblGrid>
      <w:tr>
        <w:tc>
          <w:tcPr>
            <w:tcW w:type="dxa" w:w="5328"/>
            <w:vAlign w:val="center"/>
            <w:shd w:fill="6F2082"/>
          </w:tcPr>
          <w:p>
            <w:pPr>
              <w:spacing w:after="0" w:before="0"/>
            </w:pPr>
            <w:r>
              <w:rPr>
                <w:rFonts w:ascii="Arial" w:hAnsi="Arial"/>
              </w:rPr>
            </w:r>
            <w:r>
              <w:rPr>
                <w:rFonts w:ascii="Arial" w:hAnsi="Arial"/>
                <w:b/>
                <w:color w:val="FFFFFF"/>
                <w:sz w:val="16"/>
              </w:rPr>
              <w:t>Source</w:t>
            </w:r>
          </w:p>
        </w:tc>
        <w:tc>
          <w:tcPr>
            <w:tcW w:type="dxa" w:w="5328"/>
            <w:vAlign w:val="center"/>
            <w:shd w:fill="6F2082"/>
          </w:tcPr>
          <w:p>
            <w:pPr>
              <w:spacing w:after="0" w:before="0"/>
            </w:pPr>
            <w:r>
              <w:rPr>
                <w:rFonts w:ascii="Arial" w:hAnsi="Arial"/>
              </w:rPr>
            </w:r>
            <w:r>
              <w:rPr>
                <w:rFonts w:ascii="Arial" w:hAnsi="Arial"/>
                <w:b/>
                <w:color w:val="FFFFFF"/>
                <w:sz w:val="16"/>
              </w:rPr>
              <w:t>URL / document</w:t>
            </w:r>
          </w:p>
        </w:tc>
      </w:tr>
      <w:tr>
        <w:tc>
          <w:tcPr>
            <w:tcW w:type="dxa" w:w="5328"/>
            <w:vAlign w:val="center"/>
          </w:tcPr>
          <w:p>
            <w:pPr>
              <w:spacing w:after="0" w:before="0"/>
            </w:pPr>
            <w:r>
              <w:rPr>
                <w:rFonts w:ascii="Arial" w:hAnsi="Arial"/>
              </w:rPr>
            </w:r>
            <w:r>
              <w:rPr>
                <w:rFonts w:ascii="Arial" w:hAnsi="Arial"/>
                <w:b w:val="0"/>
                <w:sz w:val="16"/>
              </w:rPr>
              <w:t>Dirigeants AG2R LA MONDIALE</w:t>
            </w:r>
          </w:p>
        </w:tc>
        <w:tc>
          <w:tcPr>
            <w:tcW w:type="dxa" w:w="5328"/>
            <w:vAlign w:val="center"/>
          </w:tcPr>
          <w:p>
            <w:pPr>
              <w:spacing w:after="0" w:before="0"/>
            </w:pPr>
            <w:r>
              <w:rPr>
                <w:rFonts w:ascii="Arial" w:hAnsi="Arial"/>
              </w:rPr>
            </w:r>
            <w:r>
              <w:rPr>
                <w:rFonts w:ascii="Arial" w:hAnsi="Arial"/>
                <w:b w:val="0"/>
                <w:sz w:val="16"/>
              </w:rPr>
              <w:t>https://www.ag2rlamondiale.fr/groupe/tous-nos-dirigeants</w:t>
            </w:r>
          </w:p>
        </w:tc>
      </w:tr>
      <w:tr>
        <w:tc>
          <w:tcPr>
            <w:tcW w:type="dxa" w:w="5328"/>
            <w:vAlign w:val="center"/>
          </w:tcPr>
          <w:p>
            <w:pPr>
              <w:spacing w:after="0" w:before="0"/>
            </w:pPr>
            <w:r>
              <w:rPr>
                <w:rFonts w:ascii="Arial" w:hAnsi="Arial"/>
              </w:rPr>
            </w:r>
            <w:r>
              <w:rPr>
                <w:rFonts w:ascii="Arial" w:hAnsi="Arial"/>
                <w:b w:val="0"/>
                <w:sz w:val="16"/>
              </w:rPr>
              <w:t>Plan stratégique 2026-2031</w:t>
            </w:r>
          </w:p>
        </w:tc>
        <w:tc>
          <w:tcPr>
            <w:tcW w:type="dxa" w:w="5328"/>
            <w:vAlign w:val="center"/>
          </w:tcPr>
          <w:p>
            <w:pPr>
              <w:spacing w:after="0" w:before="0"/>
            </w:pPr>
            <w:r>
              <w:rPr>
                <w:rFonts w:ascii="Arial" w:hAnsi="Arial"/>
              </w:rPr>
            </w:r>
            <w:r>
              <w:rPr>
                <w:rFonts w:ascii="Arial" w:hAnsi="Arial"/>
                <w:b w:val="0"/>
                <w:sz w:val="16"/>
              </w:rPr>
              <w:t>https://www.ag2rlamondiale.fr/groupe/esprit-de-conquete</w:t>
            </w:r>
          </w:p>
        </w:tc>
      </w:tr>
      <w:tr>
        <w:tc>
          <w:tcPr>
            <w:tcW w:type="dxa" w:w="5328"/>
            <w:vAlign w:val="center"/>
          </w:tcPr>
          <w:p>
            <w:pPr>
              <w:spacing w:after="0" w:before="0"/>
            </w:pPr>
            <w:r>
              <w:rPr>
                <w:rFonts w:ascii="Arial" w:hAnsi="Arial"/>
              </w:rPr>
            </w:r>
            <w:r>
              <w:rPr>
                <w:rFonts w:ascii="Arial" w:hAnsi="Arial"/>
                <w:b w:val="0"/>
                <w:sz w:val="16"/>
              </w:rPr>
              <w:t>Chiffres clés AG2R</w:t>
            </w:r>
          </w:p>
        </w:tc>
        <w:tc>
          <w:tcPr>
            <w:tcW w:type="dxa" w:w="5328"/>
            <w:vAlign w:val="center"/>
          </w:tcPr>
          <w:p>
            <w:pPr>
              <w:spacing w:after="0" w:before="0"/>
            </w:pPr>
            <w:r>
              <w:rPr>
                <w:rFonts w:ascii="Arial" w:hAnsi="Arial"/>
              </w:rPr>
            </w:r>
            <w:r>
              <w:rPr>
                <w:rFonts w:ascii="Arial" w:hAnsi="Arial"/>
                <w:b w:val="0"/>
                <w:sz w:val="16"/>
              </w:rPr>
              <w:t>https://www.ag2rlamondiale.fr/groupe/chiffres-cles</w:t>
            </w:r>
          </w:p>
        </w:tc>
      </w:tr>
      <w:tr>
        <w:tc>
          <w:tcPr>
            <w:tcW w:type="dxa" w:w="5328"/>
            <w:vAlign w:val="center"/>
          </w:tcPr>
          <w:p>
            <w:pPr>
              <w:spacing w:after="0" w:before="0"/>
            </w:pPr>
            <w:r>
              <w:rPr>
                <w:rFonts w:ascii="Arial" w:hAnsi="Arial"/>
              </w:rPr>
            </w:r>
            <w:r>
              <w:rPr>
                <w:rFonts w:ascii="Arial" w:hAnsi="Arial"/>
                <w:b w:val="0"/>
                <w:sz w:val="16"/>
              </w:rPr>
              <w:t>Pappers - SGAM AG2R LA MONDIALE</w:t>
            </w:r>
          </w:p>
        </w:tc>
        <w:tc>
          <w:tcPr>
            <w:tcW w:type="dxa" w:w="5328"/>
            <w:vAlign w:val="center"/>
          </w:tcPr>
          <w:p>
            <w:pPr>
              <w:spacing w:after="0" w:before="0"/>
            </w:pPr>
            <w:r>
              <w:rPr>
                <w:rFonts w:ascii="Arial" w:hAnsi="Arial"/>
              </w:rPr>
            </w:r>
            <w:r>
              <w:rPr>
                <w:rFonts w:ascii="Arial" w:hAnsi="Arial"/>
                <w:b w:val="0"/>
                <w:sz w:val="16"/>
              </w:rPr>
              <w:t>https://www.pappers.fr/entreprise/sgam-ag2r-la-mondiale-502858418</w:t>
            </w:r>
          </w:p>
        </w:tc>
      </w:tr>
      <w:tr>
        <w:tc>
          <w:tcPr>
            <w:tcW w:type="dxa" w:w="5328"/>
            <w:vAlign w:val="center"/>
          </w:tcPr>
          <w:p>
            <w:pPr>
              <w:spacing w:after="0" w:before="0"/>
            </w:pPr>
            <w:r>
              <w:rPr>
                <w:rFonts w:ascii="Arial" w:hAnsi="Arial"/>
              </w:rPr>
            </w:r>
            <w:r>
              <w:rPr>
                <w:rFonts w:ascii="Arial" w:hAnsi="Arial"/>
                <w:b w:val="0"/>
                <w:sz w:val="16"/>
              </w:rPr>
              <w:t>Communiqué COMEX AG2R 2025</w:t>
            </w:r>
          </w:p>
        </w:tc>
        <w:tc>
          <w:tcPr>
            <w:tcW w:type="dxa" w:w="5328"/>
            <w:vAlign w:val="center"/>
          </w:tcPr>
          <w:p>
            <w:pPr>
              <w:spacing w:after="0" w:before="0"/>
            </w:pPr>
            <w:r>
              <w:rPr>
                <w:rFonts w:ascii="Arial" w:hAnsi="Arial"/>
              </w:rPr>
            </w:r>
            <w:r>
              <w:rPr>
                <w:rFonts w:ascii="Arial" w:hAnsi="Arial"/>
                <w:b w:val="0"/>
                <w:sz w:val="16"/>
              </w:rPr>
              <w:t>https://presse.ag2rlamondiale.fr/actualites/ag2r-la-mondiale-se-dote-dun-nouveau-comex-adapté-à-la-nouvelle-organisation-du-groupe</w:t>
            </w:r>
          </w:p>
        </w:tc>
      </w:tr>
      <w:tr>
        <w:tc>
          <w:tcPr>
            <w:tcW w:type="dxa" w:w="5328"/>
            <w:vAlign w:val="center"/>
          </w:tcPr>
          <w:p>
            <w:pPr>
              <w:spacing w:after="0" w:before="0"/>
            </w:pPr>
            <w:r>
              <w:rPr>
                <w:rFonts w:ascii="Arial" w:hAnsi="Arial"/>
              </w:rPr>
            </w:r>
            <w:r>
              <w:rPr>
                <w:rFonts w:ascii="Arial" w:hAnsi="Arial"/>
                <w:b w:val="0"/>
                <w:sz w:val="16"/>
              </w:rPr>
              <w:t>Almia / IA générative AG2R</w:t>
            </w:r>
          </w:p>
        </w:tc>
        <w:tc>
          <w:tcPr>
            <w:tcW w:type="dxa" w:w="5328"/>
            <w:vAlign w:val="center"/>
          </w:tcPr>
          <w:p>
            <w:pPr>
              <w:spacing w:after="0" w:before="0"/>
            </w:pPr>
            <w:r>
              <w:rPr>
                <w:rFonts w:ascii="Arial" w:hAnsi="Arial"/>
              </w:rPr>
            </w:r>
            <w:r>
              <w:rPr>
                <w:rFonts w:ascii="Arial" w:hAnsi="Arial"/>
                <w:b w:val="0"/>
                <w:sz w:val="16"/>
              </w:rPr>
              <w:t>https://almia.ag2rlamondiale.fr/</w:t>
            </w:r>
          </w:p>
        </w:tc>
      </w:tr>
      <w:tr>
        <w:tc>
          <w:tcPr>
            <w:tcW w:type="dxa" w:w="5328"/>
            <w:vAlign w:val="center"/>
          </w:tcPr>
          <w:p>
            <w:pPr>
              <w:spacing w:after="0" w:before="0"/>
            </w:pPr>
            <w:r>
              <w:rPr>
                <w:rFonts w:ascii="Arial" w:hAnsi="Arial"/>
              </w:rPr>
            </w:r>
            <w:r>
              <w:rPr>
                <w:rFonts w:ascii="Arial" w:hAnsi="Arial"/>
                <w:b w:val="0"/>
                <w:sz w:val="16"/>
              </w:rPr>
              <w:t>Recrutement AG2R</w:t>
            </w:r>
          </w:p>
        </w:tc>
        <w:tc>
          <w:tcPr>
            <w:tcW w:type="dxa" w:w="5328"/>
            <w:vAlign w:val="center"/>
          </w:tcPr>
          <w:p>
            <w:pPr>
              <w:spacing w:after="0" w:before="0"/>
            </w:pPr>
            <w:r>
              <w:rPr>
                <w:rFonts w:ascii="Arial" w:hAnsi="Arial"/>
              </w:rPr>
            </w:r>
            <w:r>
              <w:rPr>
                <w:rFonts w:ascii="Arial" w:hAnsi="Arial"/>
                <w:b w:val="0"/>
                <w:sz w:val="16"/>
              </w:rPr>
              <w:t>https://www.ag2rlamondiale.fr/recrutement</w:t>
            </w:r>
          </w:p>
        </w:tc>
      </w:tr>
      <w:tr>
        <w:tc>
          <w:tcPr>
            <w:tcW w:type="dxa" w:w="5328"/>
            <w:vAlign w:val="center"/>
          </w:tcPr>
          <w:p>
            <w:pPr>
              <w:spacing w:after="0" w:before="0"/>
            </w:pPr>
            <w:r>
              <w:rPr>
                <w:rFonts w:ascii="Arial" w:hAnsi="Arial"/>
              </w:rPr>
            </w:r>
            <w:r>
              <w:rPr>
                <w:rFonts w:ascii="Arial" w:hAnsi="Arial"/>
                <w:b w:val="0"/>
                <w:sz w:val="16"/>
              </w:rPr>
              <w:t>Documents internes Fastor / Tilencia exploités</w:t>
            </w:r>
          </w:p>
        </w:tc>
        <w:tc>
          <w:tcPr>
            <w:tcW w:type="dxa" w:w="5328"/>
            <w:vAlign w:val="center"/>
          </w:tcPr>
          <w:p>
            <w:pPr>
              <w:spacing w:after="0" w:before="0"/>
            </w:pPr>
            <w:r>
              <w:rPr>
                <w:rFonts w:ascii="Arial" w:hAnsi="Arial"/>
              </w:rPr>
            </w:r>
            <w:r>
              <w:rPr>
                <w:rFonts w:ascii="Arial" w:hAnsi="Arial"/>
                <w:b w:val="0"/>
                <w:sz w:val="16"/>
              </w:rPr>
              <w:t>Réunion commerciale avril 2026 ; éléments AMOA DSN et Bureau Central disponibles dans la bibliothèque de fichiers.</w:t>
            </w:r>
          </w:p>
        </w:tc>
      </w:tr>
    </w:tbl>
    <w:sectPr w:rsidR="00FC693F" w:rsidRPr="0006063C" w:rsidSect="00034616">
      <w:footerReference w:type="default" r:id="rId9"/>
      <w:pgSz w:w="12240" w:h="15840"/>
      <w:pgMar w:top="792" w:right="792" w:bottom="792"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Plan de compte AG2R LA MONDIALE - document de travail commercial - 09/07/2026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702082"/>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702082"/>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